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FC" w:rsidRPr="002B5E2C" w:rsidRDefault="00E776FC" w:rsidP="00E776FC">
      <w:pPr>
        <w:widowControl w:val="0"/>
        <w:autoSpaceDE w:val="0"/>
        <w:autoSpaceDN w:val="0"/>
        <w:adjustRightInd w:val="0"/>
        <w:ind w:left="5580"/>
        <w:jc w:val="right"/>
        <w:rPr>
          <w:szCs w:val="24"/>
          <w:lang w:val="en-US"/>
        </w:rPr>
      </w:pPr>
      <w:bookmarkStart w:id="0" w:name="_GoBack"/>
      <w:bookmarkEnd w:id="0"/>
      <w:r w:rsidRPr="002B5E2C">
        <w:rPr>
          <w:b/>
          <w:bCs/>
          <w:szCs w:val="24"/>
          <w:lang w:val="en-US"/>
        </w:rPr>
        <w:t>«</w:t>
      </w:r>
      <w:r w:rsidR="002B5E2C">
        <w:rPr>
          <w:b/>
          <w:bCs/>
          <w:szCs w:val="24"/>
          <w:lang w:val="en-US"/>
        </w:rPr>
        <w:t>APPROVED</w:t>
      </w:r>
      <w:r w:rsidRPr="002B5E2C">
        <w:rPr>
          <w:b/>
          <w:bCs/>
          <w:szCs w:val="24"/>
          <w:lang w:val="en-US"/>
        </w:rPr>
        <w:t>»</w:t>
      </w:r>
    </w:p>
    <w:p w:rsidR="00E776FC" w:rsidRPr="002B5E2C" w:rsidRDefault="00E776FC" w:rsidP="00E776FC">
      <w:pPr>
        <w:widowControl w:val="0"/>
        <w:autoSpaceDE w:val="0"/>
        <w:autoSpaceDN w:val="0"/>
        <w:adjustRightInd w:val="0"/>
        <w:jc w:val="right"/>
        <w:rPr>
          <w:szCs w:val="24"/>
          <w:lang w:val="en-US"/>
        </w:rPr>
      </w:pPr>
    </w:p>
    <w:p w:rsidR="002B5E2C" w:rsidRDefault="00E776FC" w:rsidP="002B5E2C">
      <w:pPr>
        <w:widowControl w:val="0"/>
        <w:autoSpaceDE w:val="0"/>
        <w:autoSpaceDN w:val="0"/>
        <w:adjustRightInd w:val="0"/>
        <w:ind w:left="4800"/>
        <w:jc w:val="right"/>
        <w:rPr>
          <w:b/>
          <w:bCs/>
          <w:szCs w:val="24"/>
          <w:lang w:val="en-US"/>
        </w:rPr>
      </w:pPr>
      <w:r w:rsidRPr="002B5E2C">
        <w:rPr>
          <w:b/>
          <w:bCs/>
          <w:szCs w:val="24"/>
          <w:lang w:val="en-US"/>
        </w:rPr>
        <w:t xml:space="preserve">      </w:t>
      </w:r>
      <w:r w:rsidR="002B5E2C" w:rsidRPr="002B5E2C">
        <w:rPr>
          <w:b/>
          <w:bCs/>
          <w:szCs w:val="24"/>
          <w:lang w:val="en-US"/>
        </w:rPr>
        <w:t>By the decision of the Board of "Damu" Entrepreneurship Development Fund</w:t>
      </w:r>
      <w:r w:rsidR="0053658B" w:rsidRPr="00D3541E">
        <w:rPr>
          <w:rFonts w:cs="Times New Roman"/>
          <w:szCs w:val="24"/>
          <w:lang w:val="en-US"/>
        </w:rPr>
        <w:t>"</w:t>
      </w:r>
      <w:r w:rsidR="002B5E2C" w:rsidRPr="002B5E2C">
        <w:rPr>
          <w:b/>
          <w:bCs/>
          <w:szCs w:val="24"/>
          <w:lang w:val="en-US"/>
        </w:rPr>
        <w:t xml:space="preserve"> JSC</w:t>
      </w:r>
    </w:p>
    <w:p w:rsidR="00E776FC" w:rsidRPr="002B5E2C" w:rsidRDefault="00E776FC" w:rsidP="002B5E2C">
      <w:pPr>
        <w:widowControl w:val="0"/>
        <w:autoSpaceDE w:val="0"/>
        <w:autoSpaceDN w:val="0"/>
        <w:adjustRightInd w:val="0"/>
        <w:ind w:left="4800"/>
        <w:jc w:val="right"/>
        <w:rPr>
          <w:szCs w:val="24"/>
          <w:lang w:val="en-US"/>
        </w:rPr>
      </w:pPr>
      <w:r w:rsidRPr="002B5E2C">
        <w:rPr>
          <w:b/>
          <w:bCs/>
          <w:szCs w:val="24"/>
          <w:lang w:val="en-US"/>
        </w:rPr>
        <w:tab/>
      </w:r>
    </w:p>
    <w:p w:rsidR="00E776FC" w:rsidRPr="0007109F" w:rsidRDefault="002B5E2C" w:rsidP="00E776FC">
      <w:pPr>
        <w:widowControl w:val="0"/>
        <w:autoSpaceDE w:val="0"/>
        <w:autoSpaceDN w:val="0"/>
        <w:adjustRightInd w:val="0"/>
        <w:ind w:left="5420"/>
        <w:jc w:val="right"/>
        <w:rPr>
          <w:szCs w:val="24"/>
          <w:lang w:val="kk-KZ"/>
        </w:rPr>
      </w:pPr>
      <w:r>
        <w:rPr>
          <w:b/>
          <w:bCs/>
          <w:szCs w:val="24"/>
          <w:lang w:val="en-US"/>
        </w:rPr>
        <w:t>Annex</w:t>
      </w:r>
      <w:r w:rsidR="00E776FC" w:rsidRPr="002B5E2C">
        <w:rPr>
          <w:b/>
          <w:bCs/>
          <w:szCs w:val="24"/>
          <w:lang w:val="en-US"/>
        </w:rPr>
        <w:t xml:space="preserve"> </w:t>
      </w:r>
      <w:r>
        <w:rPr>
          <w:b/>
          <w:bCs/>
          <w:szCs w:val="24"/>
          <w:lang w:val="en-US"/>
        </w:rPr>
        <w:t xml:space="preserve">No. </w:t>
      </w:r>
      <w:r w:rsidR="00E865BD" w:rsidRPr="002B5E2C">
        <w:rPr>
          <w:b/>
          <w:bCs/>
          <w:szCs w:val="24"/>
          <w:lang w:val="en-US"/>
        </w:rPr>
        <w:t>3</w:t>
      </w:r>
    </w:p>
    <w:p w:rsidR="00E776FC" w:rsidRPr="0053658B" w:rsidRDefault="002B5E2C" w:rsidP="00E776FC">
      <w:pPr>
        <w:widowControl w:val="0"/>
        <w:overflowPunct w:val="0"/>
        <w:autoSpaceDE w:val="0"/>
        <w:autoSpaceDN w:val="0"/>
        <w:adjustRightInd w:val="0"/>
        <w:ind w:left="4580"/>
        <w:jc w:val="right"/>
        <w:rPr>
          <w:b/>
          <w:bCs/>
          <w:szCs w:val="24"/>
          <w:lang w:val="en-US"/>
        </w:rPr>
      </w:pPr>
      <w:r w:rsidRPr="002B5E2C">
        <w:rPr>
          <w:b/>
          <w:bCs/>
          <w:szCs w:val="24"/>
          <w:lang w:val="en-US"/>
        </w:rPr>
        <w:t xml:space="preserve">to the Minutes of the meeting of the Management Board of </w:t>
      </w:r>
      <w:r w:rsidR="0053658B" w:rsidRPr="002B5E2C">
        <w:rPr>
          <w:b/>
          <w:bCs/>
          <w:szCs w:val="24"/>
          <w:lang w:val="en-US"/>
        </w:rPr>
        <w:t>"</w:t>
      </w:r>
      <w:r w:rsidRPr="002B5E2C">
        <w:rPr>
          <w:b/>
          <w:bCs/>
          <w:szCs w:val="24"/>
          <w:lang w:val="en-US"/>
        </w:rPr>
        <w:t>Damu</w:t>
      </w:r>
      <w:r w:rsidR="0053658B" w:rsidRPr="002B5E2C">
        <w:rPr>
          <w:b/>
          <w:bCs/>
          <w:szCs w:val="24"/>
          <w:lang w:val="en-US"/>
        </w:rPr>
        <w:t>"</w:t>
      </w:r>
      <w:r w:rsidRPr="002B5E2C">
        <w:rPr>
          <w:b/>
          <w:bCs/>
          <w:szCs w:val="24"/>
          <w:lang w:val="en-US"/>
        </w:rPr>
        <w:t xml:space="preserve"> Entrepreneurship Development Fund</w:t>
      </w:r>
      <w:r w:rsidR="0053658B" w:rsidRPr="00D3541E">
        <w:rPr>
          <w:rFonts w:cs="Times New Roman"/>
          <w:szCs w:val="24"/>
          <w:lang w:val="en-US"/>
        </w:rPr>
        <w:t>"</w:t>
      </w:r>
      <w:r w:rsidRPr="002B5E2C">
        <w:rPr>
          <w:b/>
          <w:bCs/>
          <w:szCs w:val="24"/>
          <w:lang w:val="en-US"/>
        </w:rPr>
        <w:t xml:space="preserve"> JSC dated September 03, 2021, No. 69/2021</w:t>
      </w:r>
    </w:p>
    <w:p w:rsidR="006560AD" w:rsidRPr="002B5E2C" w:rsidRDefault="006560AD" w:rsidP="00151EE4">
      <w:pPr>
        <w:widowControl w:val="0"/>
        <w:autoSpaceDE w:val="0"/>
        <w:autoSpaceDN w:val="0"/>
        <w:adjustRightInd w:val="0"/>
        <w:ind w:left="3969" w:hanging="283"/>
        <w:jc w:val="right"/>
        <w:rPr>
          <w:b/>
          <w:bCs/>
          <w:szCs w:val="24"/>
          <w:lang w:val="en-US"/>
        </w:rPr>
      </w:pPr>
    </w:p>
    <w:p w:rsidR="00E776FC" w:rsidRPr="002B5E2C" w:rsidRDefault="00E776FC" w:rsidP="00151EE4">
      <w:pPr>
        <w:widowControl w:val="0"/>
        <w:autoSpaceDE w:val="0"/>
        <w:autoSpaceDN w:val="0"/>
        <w:adjustRightInd w:val="0"/>
        <w:ind w:left="3969" w:hanging="283"/>
        <w:jc w:val="right"/>
        <w:rPr>
          <w:b/>
          <w:bCs/>
          <w:szCs w:val="24"/>
          <w:lang w:val="en-US"/>
        </w:rPr>
      </w:pPr>
    </w:p>
    <w:p w:rsidR="00E776FC" w:rsidRPr="002B5E2C" w:rsidRDefault="00E776FC" w:rsidP="00151EE4">
      <w:pPr>
        <w:widowControl w:val="0"/>
        <w:autoSpaceDE w:val="0"/>
        <w:autoSpaceDN w:val="0"/>
        <w:adjustRightInd w:val="0"/>
        <w:ind w:left="3969" w:hanging="283"/>
        <w:jc w:val="right"/>
        <w:rPr>
          <w:b/>
          <w:bCs/>
          <w:szCs w:val="24"/>
          <w:lang w:val="en-US"/>
        </w:rPr>
      </w:pPr>
    </w:p>
    <w:p w:rsidR="00E776FC" w:rsidRPr="002B5E2C" w:rsidRDefault="00E776FC" w:rsidP="00151EE4">
      <w:pPr>
        <w:widowControl w:val="0"/>
        <w:autoSpaceDE w:val="0"/>
        <w:autoSpaceDN w:val="0"/>
        <w:adjustRightInd w:val="0"/>
        <w:ind w:left="3969" w:hanging="283"/>
        <w:jc w:val="right"/>
        <w:rPr>
          <w:b/>
          <w:bCs/>
          <w:szCs w:val="24"/>
          <w:lang w:val="en-US"/>
        </w:rPr>
      </w:pPr>
    </w:p>
    <w:p w:rsidR="006560AD" w:rsidRPr="0007109F" w:rsidRDefault="006560AD" w:rsidP="006560AD">
      <w:pPr>
        <w:jc w:val="center"/>
        <w:rPr>
          <w:b/>
          <w:szCs w:val="24"/>
          <w:lang w:val="kk-KZ"/>
        </w:rPr>
      </w:pPr>
    </w:p>
    <w:p w:rsidR="006560AD" w:rsidRPr="002B5E2C" w:rsidRDefault="006560AD" w:rsidP="006560AD">
      <w:pPr>
        <w:ind w:firstLine="0"/>
        <w:jc w:val="right"/>
        <w:rPr>
          <w:rFonts w:cs="Times New Roman"/>
          <w:szCs w:val="24"/>
          <w:lang w:val="en-US"/>
        </w:rPr>
      </w:pPr>
    </w:p>
    <w:p w:rsidR="00C26C9B" w:rsidRPr="002B5E2C" w:rsidRDefault="00C26C9B" w:rsidP="004B5EE2">
      <w:pPr>
        <w:ind w:firstLine="0"/>
        <w:jc w:val="right"/>
        <w:rPr>
          <w:rFonts w:cs="Times New Roman"/>
          <w:szCs w:val="24"/>
          <w:lang w:val="en-US"/>
        </w:rPr>
      </w:pPr>
    </w:p>
    <w:p w:rsidR="00C26C9B" w:rsidRPr="002B5E2C" w:rsidRDefault="00C26C9B" w:rsidP="004B5EE2">
      <w:pPr>
        <w:ind w:firstLine="0"/>
        <w:jc w:val="right"/>
        <w:rPr>
          <w:rFonts w:cs="Times New Roman"/>
          <w:szCs w:val="24"/>
          <w:lang w:val="en-US"/>
        </w:rPr>
      </w:pPr>
    </w:p>
    <w:p w:rsidR="00C26C9B" w:rsidRPr="002B5E2C" w:rsidRDefault="00C26C9B" w:rsidP="004B5EE2">
      <w:pPr>
        <w:ind w:firstLine="0"/>
        <w:jc w:val="right"/>
        <w:rPr>
          <w:rFonts w:cs="Times New Roman"/>
          <w:szCs w:val="24"/>
          <w:lang w:val="en-US"/>
        </w:rPr>
      </w:pPr>
    </w:p>
    <w:p w:rsidR="00C26C9B" w:rsidRPr="002B5E2C" w:rsidRDefault="00C26C9B" w:rsidP="004B5EE2">
      <w:pPr>
        <w:ind w:firstLine="0"/>
        <w:jc w:val="right"/>
        <w:rPr>
          <w:rFonts w:cs="Times New Roman"/>
          <w:szCs w:val="24"/>
          <w:lang w:val="en-US"/>
        </w:rPr>
      </w:pPr>
    </w:p>
    <w:p w:rsidR="00C26C9B" w:rsidRPr="003F135F" w:rsidRDefault="003F135F" w:rsidP="004B5EE2">
      <w:pPr>
        <w:ind w:firstLine="0"/>
        <w:jc w:val="center"/>
        <w:rPr>
          <w:rFonts w:cs="Times New Roman"/>
          <w:szCs w:val="24"/>
          <w:lang w:val="en-US"/>
        </w:rPr>
      </w:pPr>
      <w:r w:rsidRPr="003F135F">
        <w:rPr>
          <w:rFonts w:cs="Times New Roman"/>
          <w:szCs w:val="24"/>
          <w:lang w:val="en-US"/>
        </w:rPr>
        <w:t>POLICY OF "DAMU" ENTREPRENEURSHIP DEVELOPMENT FUND</w:t>
      </w:r>
      <w:r w:rsidR="0053658B" w:rsidRPr="00D3541E">
        <w:rPr>
          <w:rFonts w:cs="Times New Roman"/>
          <w:szCs w:val="24"/>
          <w:lang w:val="en-US"/>
        </w:rPr>
        <w:t>"</w:t>
      </w:r>
      <w:r w:rsidRPr="003F135F">
        <w:rPr>
          <w:rFonts w:cs="Times New Roman"/>
          <w:szCs w:val="24"/>
          <w:lang w:val="en-US"/>
        </w:rPr>
        <w:t xml:space="preserve"> JSC IN THE FIELD OF SOCIAL BONDS </w:t>
      </w:r>
      <w:r w:rsidR="00C26C9B" w:rsidRPr="003F135F">
        <w:rPr>
          <w:rFonts w:cs="Times New Roman"/>
          <w:szCs w:val="24"/>
          <w:lang w:val="en-US"/>
        </w:rPr>
        <w:t>(</w:t>
      </w:r>
      <w:r w:rsidR="00C26C9B" w:rsidRPr="00C26C9B">
        <w:rPr>
          <w:rFonts w:cs="Times New Roman"/>
          <w:szCs w:val="24"/>
          <w:lang w:val="en-US"/>
        </w:rPr>
        <w:t>Social</w:t>
      </w:r>
      <w:r w:rsidR="00C26C9B" w:rsidRPr="003F135F">
        <w:rPr>
          <w:rFonts w:cs="Times New Roman"/>
          <w:szCs w:val="24"/>
          <w:lang w:val="en-US"/>
        </w:rPr>
        <w:t xml:space="preserve"> </w:t>
      </w:r>
      <w:r w:rsidR="00C26C9B" w:rsidRPr="00C26C9B">
        <w:rPr>
          <w:rFonts w:cs="Times New Roman"/>
          <w:szCs w:val="24"/>
          <w:lang w:val="en-US"/>
        </w:rPr>
        <w:t>Bond</w:t>
      </w:r>
      <w:r w:rsidR="00C26C9B" w:rsidRPr="003F135F">
        <w:rPr>
          <w:rFonts w:cs="Times New Roman"/>
          <w:szCs w:val="24"/>
          <w:lang w:val="en-US"/>
        </w:rPr>
        <w:t xml:space="preserve"> </w:t>
      </w:r>
      <w:r w:rsidR="00C26C9B" w:rsidRPr="00C26C9B">
        <w:rPr>
          <w:rFonts w:cs="Times New Roman"/>
          <w:szCs w:val="24"/>
          <w:lang w:val="en-US"/>
        </w:rPr>
        <w:t>Framework</w:t>
      </w:r>
      <w:r w:rsidR="00C26C9B" w:rsidRPr="003F135F">
        <w:rPr>
          <w:rFonts w:cs="Times New Roman"/>
          <w:szCs w:val="24"/>
          <w:lang w:val="en-US"/>
        </w:rPr>
        <w:t>)</w:t>
      </w:r>
    </w:p>
    <w:p w:rsidR="00C26C9B" w:rsidRPr="003F135F" w:rsidRDefault="00C26C9B" w:rsidP="004B5EE2">
      <w:pPr>
        <w:ind w:firstLine="0"/>
        <w:jc w:val="center"/>
        <w:rPr>
          <w:rFonts w:cs="Times New Roman"/>
          <w:szCs w:val="24"/>
          <w:lang w:val="en-US"/>
        </w:rPr>
      </w:pPr>
    </w:p>
    <w:p w:rsidR="00C26C9B" w:rsidRPr="003F135F" w:rsidRDefault="00C26C9B" w:rsidP="004B5EE2">
      <w:pPr>
        <w:ind w:firstLine="0"/>
        <w:jc w:val="center"/>
        <w:rPr>
          <w:rFonts w:cs="Times New Roman"/>
          <w:szCs w:val="24"/>
          <w:lang w:val="en-US"/>
        </w:rPr>
      </w:pPr>
    </w:p>
    <w:p w:rsidR="00C26C9B" w:rsidRPr="003F135F" w:rsidRDefault="00C26C9B" w:rsidP="004B5EE2">
      <w:pPr>
        <w:ind w:firstLine="0"/>
        <w:jc w:val="center"/>
        <w:rPr>
          <w:rFonts w:cs="Times New Roman"/>
          <w:szCs w:val="24"/>
          <w:lang w:val="en-US"/>
        </w:rPr>
      </w:pPr>
    </w:p>
    <w:p w:rsidR="00C26C9B" w:rsidRPr="003F135F" w:rsidRDefault="00C26C9B" w:rsidP="004B5EE2">
      <w:pPr>
        <w:ind w:firstLine="0"/>
        <w:jc w:val="center"/>
        <w:rPr>
          <w:rFonts w:cs="Times New Roman"/>
          <w:szCs w:val="24"/>
          <w:lang w:val="en-US"/>
        </w:rPr>
      </w:pPr>
    </w:p>
    <w:p w:rsidR="00C26C9B" w:rsidRPr="003F135F" w:rsidRDefault="00C26C9B" w:rsidP="004B5EE2">
      <w:pPr>
        <w:ind w:firstLine="0"/>
        <w:jc w:val="center"/>
        <w:rPr>
          <w:rFonts w:cs="Times New Roman"/>
          <w:szCs w:val="24"/>
          <w:lang w:val="en-US"/>
        </w:rPr>
      </w:pPr>
    </w:p>
    <w:p w:rsidR="00C26C9B" w:rsidRPr="003F135F" w:rsidRDefault="00C26C9B" w:rsidP="004B5EE2">
      <w:pPr>
        <w:ind w:firstLine="0"/>
        <w:jc w:val="center"/>
        <w:rPr>
          <w:rFonts w:cs="Times New Roman"/>
          <w:szCs w:val="24"/>
          <w:lang w:val="en-US"/>
        </w:rPr>
      </w:pPr>
    </w:p>
    <w:p w:rsidR="004C2B73" w:rsidRPr="003F135F" w:rsidRDefault="004C2B73" w:rsidP="004B5EE2">
      <w:pPr>
        <w:ind w:firstLine="0"/>
        <w:jc w:val="center"/>
        <w:rPr>
          <w:rFonts w:cs="Times New Roman"/>
          <w:szCs w:val="24"/>
          <w:lang w:val="en-US"/>
        </w:rPr>
      </w:pPr>
    </w:p>
    <w:p w:rsidR="004C2B73" w:rsidRPr="003F135F" w:rsidRDefault="004C2B73" w:rsidP="004B5EE2">
      <w:pPr>
        <w:ind w:firstLine="0"/>
        <w:jc w:val="center"/>
        <w:rPr>
          <w:rFonts w:cs="Times New Roman"/>
          <w:szCs w:val="24"/>
          <w:lang w:val="en-US"/>
        </w:rPr>
      </w:pPr>
    </w:p>
    <w:p w:rsidR="004C2B73" w:rsidRPr="003F135F" w:rsidRDefault="004C2B73" w:rsidP="004B5EE2">
      <w:pPr>
        <w:ind w:firstLine="0"/>
        <w:jc w:val="center"/>
        <w:rPr>
          <w:rFonts w:cs="Times New Roman"/>
          <w:szCs w:val="24"/>
          <w:lang w:val="en-US"/>
        </w:rPr>
      </w:pPr>
    </w:p>
    <w:p w:rsidR="004C2B73" w:rsidRPr="003F135F" w:rsidRDefault="004C2B73" w:rsidP="004B5EE2">
      <w:pPr>
        <w:ind w:firstLine="0"/>
        <w:jc w:val="center"/>
        <w:rPr>
          <w:rFonts w:cs="Times New Roman"/>
          <w:szCs w:val="24"/>
          <w:lang w:val="en-US"/>
        </w:rPr>
      </w:pPr>
    </w:p>
    <w:p w:rsidR="004C2B73" w:rsidRPr="003F135F" w:rsidRDefault="004C2B73" w:rsidP="004B5EE2">
      <w:pPr>
        <w:ind w:firstLine="0"/>
        <w:jc w:val="center"/>
        <w:rPr>
          <w:rFonts w:cs="Times New Roman"/>
          <w:szCs w:val="24"/>
          <w:lang w:val="en-US"/>
        </w:rPr>
      </w:pPr>
    </w:p>
    <w:p w:rsidR="004C2B73" w:rsidRPr="003F135F" w:rsidRDefault="004C2B73" w:rsidP="004B5EE2">
      <w:pPr>
        <w:ind w:firstLine="0"/>
        <w:jc w:val="center"/>
        <w:rPr>
          <w:rFonts w:cs="Times New Roman"/>
          <w:szCs w:val="24"/>
          <w:lang w:val="en-US"/>
        </w:rPr>
      </w:pPr>
    </w:p>
    <w:p w:rsidR="004C2B73" w:rsidRPr="003F135F" w:rsidRDefault="004C2B73" w:rsidP="004B5EE2">
      <w:pPr>
        <w:ind w:firstLine="0"/>
        <w:jc w:val="center"/>
        <w:rPr>
          <w:rFonts w:cs="Times New Roman"/>
          <w:szCs w:val="24"/>
          <w:lang w:val="en-US"/>
        </w:rPr>
      </w:pPr>
    </w:p>
    <w:p w:rsidR="004C2B73" w:rsidRPr="003F135F" w:rsidRDefault="004C2B73"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151EE4" w:rsidRPr="003F135F" w:rsidRDefault="00151EE4" w:rsidP="004B5EE2">
      <w:pPr>
        <w:ind w:firstLine="0"/>
        <w:jc w:val="center"/>
        <w:rPr>
          <w:rFonts w:cs="Times New Roman"/>
          <w:szCs w:val="24"/>
          <w:lang w:val="en-US"/>
        </w:rPr>
      </w:pPr>
    </w:p>
    <w:p w:rsidR="00023EF6" w:rsidRPr="00477066" w:rsidRDefault="00C26C9B" w:rsidP="00C26628">
      <w:pPr>
        <w:ind w:firstLine="0"/>
        <w:jc w:val="center"/>
        <w:rPr>
          <w:rFonts w:cs="Times New Roman"/>
          <w:szCs w:val="24"/>
        </w:rPr>
      </w:pPr>
      <w:r w:rsidRPr="003F135F">
        <w:rPr>
          <w:rFonts w:cs="Times New Roman"/>
          <w:szCs w:val="24"/>
          <w:lang w:val="en-US"/>
        </w:rPr>
        <w:t xml:space="preserve"> </w:t>
      </w:r>
      <w:r w:rsidRPr="00477066">
        <w:rPr>
          <w:rFonts w:cs="Times New Roman"/>
          <w:szCs w:val="24"/>
        </w:rPr>
        <w:t>2021</w:t>
      </w:r>
    </w:p>
    <w:p w:rsidR="00C26628" w:rsidRPr="00477066" w:rsidRDefault="00023EF6" w:rsidP="00C26628">
      <w:pPr>
        <w:rPr>
          <w:rFonts w:cs="Times New Roman"/>
          <w:szCs w:val="24"/>
        </w:rPr>
      </w:pPr>
      <w:r w:rsidRPr="00477066">
        <w:rPr>
          <w:rFonts w:cs="Times New Roman"/>
          <w:szCs w:val="24"/>
        </w:rPr>
        <w:br w:type="page"/>
      </w:r>
    </w:p>
    <w:sdt>
      <w:sdtPr>
        <w:rPr>
          <w:rFonts w:ascii="Times New Roman" w:eastAsiaTheme="minorHAnsi" w:hAnsi="Times New Roman" w:cstheme="minorBidi"/>
          <w:color w:val="auto"/>
          <w:sz w:val="24"/>
          <w:szCs w:val="22"/>
          <w:lang w:eastAsia="en-US"/>
        </w:rPr>
        <w:id w:val="18444480"/>
        <w:docPartObj>
          <w:docPartGallery w:val="Table of Contents"/>
          <w:docPartUnique/>
        </w:docPartObj>
      </w:sdtPr>
      <w:sdtEndPr>
        <w:rPr>
          <w:b/>
          <w:bCs/>
        </w:rPr>
      </w:sdtEndPr>
      <w:sdtContent>
        <w:p w:rsidR="009B2F24" w:rsidRPr="003F135F" w:rsidRDefault="003F135F" w:rsidP="00C26628">
          <w:pPr>
            <w:pStyle w:val="ad"/>
            <w:rPr>
              <w:rFonts w:ascii="Times New Roman" w:hAnsi="Times New Roman" w:cs="Times New Roman"/>
              <w:lang w:val="en-US"/>
            </w:rPr>
          </w:pPr>
          <w:r>
            <w:rPr>
              <w:rFonts w:ascii="Times New Roman" w:hAnsi="Times New Roman" w:cs="Times New Roman"/>
              <w:lang w:val="en-US"/>
            </w:rPr>
            <w:t>Table of contents</w:t>
          </w:r>
        </w:p>
        <w:p w:rsidR="00AA1A1B" w:rsidRPr="00AA1A1B" w:rsidRDefault="009B2F24">
          <w:pPr>
            <w:pStyle w:val="12"/>
            <w:tabs>
              <w:tab w:val="left" w:pos="440"/>
            </w:tabs>
            <w:rPr>
              <w:rFonts w:asciiTheme="minorHAnsi" w:eastAsiaTheme="minorEastAsia" w:hAnsiTheme="minorHAnsi"/>
              <w:noProof/>
              <w:sz w:val="22"/>
              <w:lang w:val="en-US"/>
            </w:rPr>
          </w:pPr>
          <w:r w:rsidRPr="00AA1A1B">
            <w:fldChar w:fldCharType="begin"/>
          </w:r>
          <w:r w:rsidRPr="00AA1A1B">
            <w:instrText xml:space="preserve"> TOC \o "1-3" \h \z \u </w:instrText>
          </w:r>
          <w:r w:rsidRPr="00AA1A1B">
            <w:fldChar w:fldCharType="separate"/>
          </w:r>
          <w:hyperlink w:anchor="_Toc82790094" w:history="1">
            <w:r w:rsidR="00AA1A1B" w:rsidRPr="00AA1A1B">
              <w:rPr>
                <w:rStyle w:val="aa"/>
                <w:rFonts w:cs="Times New Roman"/>
                <w:noProof/>
              </w:rPr>
              <w:t>1.</w:t>
            </w:r>
            <w:r w:rsidR="00AA1A1B" w:rsidRPr="00AA1A1B">
              <w:rPr>
                <w:rFonts w:asciiTheme="minorHAnsi" w:eastAsiaTheme="minorEastAsia" w:hAnsiTheme="minorHAnsi"/>
                <w:noProof/>
                <w:sz w:val="22"/>
                <w:lang w:val="en-US"/>
              </w:rPr>
              <w:tab/>
            </w:r>
            <w:r w:rsidR="00AA1A1B" w:rsidRPr="00AA1A1B">
              <w:rPr>
                <w:rStyle w:val="aa"/>
                <w:rFonts w:cs="Times New Roman"/>
                <w:bCs/>
                <w:noProof/>
                <w:lang w:val="en-US"/>
              </w:rPr>
              <w:t>Ceneral provisions</w:t>
            </w:r>
            <w:r w:rsidR="00AA1A1B" w:rsidRPr="00AA1A1B">
              <w:rPr>
                <w:noProof/>
                <w:webHidden/>
              </w:rPr>
              <w:tab/>
            </w:r>
            <w:r w:rsidR="00AA1A1B" w:rsidRPr="00AA1A1B">
              <w:rPr>
                <w:noProof/>
                <w:webHidden/>
              </w:rPr>
              <w:fldChar w:fldCharType="begin"/>
            </w:r>
            <w:r w:rsidR="00AA1A1B" w:rsidRPr="00AA1A1B">
              <w:rPr>
                <w:noProof/>
                <w:webHidden/>
              </w:rPr>
              <w:instrText xml:space="preserve"> PAGEREF _Toc82790094 \h </w:instrText>
            </w:r>
            <w:r w:rsidR="00AA1A1B" w:rsidRPr="00AA1A1B">
              <w:rPr>
                <w:noProof/>
                <w:webHidden/>
              </w:rPr>
            </w:r>
            <w:r w:rsidR="00AA1A1B" w:rsidRPr="00AA1A1B">
              <w:rPr>
                <w:noProof/>
                <w:webHidden/>
              </w:rPr>
              <w:fldChar w:fldCharType="separate"/>
            </w:r>
            <w:r w:rsidR="00AA1A1B" w:rsidRPr="00AA1A1B">
              <w:rPr>
                <w:noProof/>
                <w:webHidden/>
              </w:rPr>
              <w:t>3</w:t>
            </w:r>
            <w:r w:rsidR="00AA1A1B" w:rsidRPr="00AA1A1B">
              <w:rPr>
                <w:noProof/>
                <w:webHidden/>
              </w:rPr>
              <w:fldChar w:fldCharType="end"/>
            </w:r>
          </w:hyperlink>
        </w:p>
        <w:p w:rsidR="00AA1A1B" w:rsidRPr="00AA1A1B" w:rsidRDefault="00E87DD6">
          <w:pPr>
            <w:pStyle w:val="12"/>
            <w:tabs>
              <w:tab w:val="left" w:pos="440"/>
            </w:tabs>
            <w:rPr>
              <w:rFonts w:asciiTheme="minorHAnsi" w:eastAsiaTheme="minorEastAsia" w:hAnsiTheme="minorHAnsi"/>
              <w:noProof/>
              <w:sz w:val="22"/>
              <w:lang w:val="en-US"/>
            </w:rPr>
          </w:pPr>
          <w:hyperlink w:anchor="_Toc82790095" w:history="1">
            <w:r w:rsidR="00AA1A1B" w:rsidRPr="00AA1A1B">
              <w:rPr>
                <w:rStyle w:val="aa"/>
                <w:rFonts w:cs="Times New Roman"/>
                <w:bCs/>
                <w:noProof/>
              </w:rPr>
              <w:t>2.</w:t>
            </w:r>
            <w:r w:rsidR="00AA1A1B" w:rsidRPr="00AA1A1B">
              <w:rPr>
                <w:rFonts w:asciiTheme="minorHAnsi" w:eastAsiaTheme="minorEastAsia" w:hAnsiTheme="minorHAnsi"/>
                <w:noProof/>
                <w:sz w:val="22"/>
                <w:lang w:val="en-US"/>
              </w:rPr>
              <w:tab/>
            </w:r>
            <w:r w:rsidR="00AA1A1B" w:rsidRPr="00AA1A1B">
              <w:rPr>
                <w:rStyle w:val="aa"/>
                <w:rFonts w:cs="Times New Roman"/>
                <w:bCs/>
                <w:noProof/>
              </w:rPr>
              <w:t>Definitions and abbreviations</w:t>
            </w:r>
            <w:r w:rsidR="00AA1A1B" w:rsidRPr="00AA1A1B">
              <w:rPr>
                <w:noProof/>
                <w:webHidden/>
              </w:rPr>
              <w:tab/>
            </w:r>
            <w:r w:rsidR="00AA1A1B" w:rsidRPr="00AA1A1B">
              <w:rPr>
                <w:noProof/>
                <w:webHidden/>
              </w:rPr>
              <w:fldChar w:fldCharType="begin"/>
            </w:r>
            <w:r w:rsidR="00AA1A1B" w:rsidRPr="00AA1A1B">
              <w:rPr>
                <w:noProof/>
                <w:webHidden/>
              </w:rPr>
              <w:instrText xml:space="preserve"> PAGEREF _Toc82790095 \h </w:instrText>
            </w:r>
            <w:r w:rsidR="00AA1A1B" w:rsidRPr="00AA1A1B">
              <w:rPr>
                <w:noProof/>
                <w:webHidden/>
              </w:rPr>
            </w:r>
            <w:r w:rsidR="00AA1A1B" w:rsidRPr="00AA1A1B">
              <w:rPr>
                <w:noProof/>
                <w:webHidden/>
              </w:rPr>
              <w:fldChar w:fldCharType="separate"/>
            </w:r>
            <w:r w:rsidR="00AA1A1B" w:rsidRPr="00AA1A1B">
              <w:rPr>
                <w:noProof/>
                <w:webHidden/>
              </w:rPr>
              <w:t>3</w:t>
            </w:r>
            <w:r w:rsidR="00AA1A1B" w:rsidRPr="00AA1A1B">
              <w:rPr>
                <w:noProof/>
                <w:webHidden/>
              </w:rPr>
              <w:fldChar w:fldCharType="end"/>
            </w:r>
          </w:hyperlink>
        </w:p>
        <w:p w:rsidR="00AA1A1B" w:rsidRPr="00AA1A1B" w:rsidRDefault="00E87DD6">
          <w:pPr>
            <w:pStyle w:val="12"/>
            <w:tabs>
              <w:tab w:val="left" w:pos="440"/>
            </w:tabs>
            <w:rPr>
              <w:rFonts w:asciiTheme="minorHAnsi" w:eastAsiaTheme="minorEastAsia" w:hAnsiTheme="minorHAnsi"/>
              <w:noProof/>
              <w:sz w:val="22"/>
              <w:lang w:val="en-US"/>
            </w:rPr>
          </w:pPr>
          <w:hyperlink w:anchor="_Toc82790096" w:history="1">
            <w:r w:rsidR="00AA1A1B" w:rsidRPr="00AA1A1B">
              <w:rPr>
                <w:rStyle w:val="aa"/>
                <w:rFonts w:cs="Times New Roman"/>
                <w:bCs/>
                <w:noProof/>
                <w:lang w:val="en-US"/>
              </w:rPr>
              <w:t>3.</w:t>
            </w:r>
            <w:r w:rsidR="00AA1A1B" w:rsidRPr="00AA1A1B">
              <w:rPr>
                <w:rFonts w:asciiTheme="minorHAnsi" w:eastAsiaTheme="minorEastAsia" w:hAnsiTheme="minorHAnsi"/>
                <w:noProof/>
                <w:sz w:val="22"/>
                <w:lang w:val="en-US"/>
              </w:rPr>
              <w:tab/>
            </w:r>
            <w:r w:rsidR="00AA1A1B" w:rsidRPr="00AA1A1B">
              <w:rPr>
                <w:rStyle w:val="aa"/>
                <w:rFonts w:cs="Times New Roman"/>
                <w:bCs/>
                <w:noProof/>
                <w:lang w:val="en-US"/>
              </w:rPr>
              <w:t>Prerequisites for issuing social bonds</w:t>
            </w:r>
            <w:r w:rsidR="00AA1A1B" w:rsidRPr="00AA1A1B">
              <w:rPr>
                <w:noProof/>
                <w:webHidden/>
              </w:rPr>
              <w:tab/>
            </w:r>
            <w:r w:rsidR="00AA1A1B" w:rsidRPr="00AA1A1B">
              <w:rPr>
                <w:noProof/>
                <w:webHidden/>
              </w:rPr>
              <w:fldChar w:fldCharType="begin"/>
            </w:r>
            <w:r w:rsidR="00AA1A1B" w:rsidRPr="00AA1A1B">
              <w:rPr>
                <w:noProof/>
                <w:webHidden/>
              </w:rPr>
              <w:instrText xml:space="preserve"> PAGEREF _Toc82790096 \h </w:instrText>
            </w:r>
            <w:r w:rsidR="00AA1A1B" w:rsidRPr="00AA1A1B">
              <w:rPr>
                <w:noProof/>
                <w:webHidden/>
              </w:rPr>
            </w:r>
            <w:r w:rsidR="00AA1A1B" w:rsidRPr="00AA1A1B">
              <w:rPr>
                <w:noProof/>
                <w:webHidden/>
              </w:rPr>
              <w:fldChar w:fldCharType="separate"/>
            </w:r>
            <w:r w:rsidR="00AA1A1B" w:rsidRPr="00AA1A1B">
              <w:rPr>
                <w:noProof/>
                <w:webHidden/>
              </w:rPr>
              <w:t>4</w:t>
            </w:r>
            <w:r w:rsidR="00AA1A1B" w:rsidRPr="00AA1A1B">
              <w:rPr>
                <w:noProof/>
                <w:webHidden/>
              </w:rPr>
              <w:fldChar w:fldCharType="end"/>
            </w:r>
          </w:hyperlink>
        </w:p>
        <w:p w:rsidR="00AA1A1B" w:rsidRPr="00AA1A1B" w:rsidRDefault="00E87DD6">
          <w:pPr>
            <w:pStyle w:val="12"/>
            <w:tabs>
              <w:tab w:val="left" w:pos="440"/>
            </w:tabs>
            <w:rPr>
              <w:rFonts w:asciiTheme="minorHAnsi" w:eastAsiaTheme="minorEastAsia" w:hAnsiTheme="minorHAnsi"/>
              <w:noProof/>
              <w:sz w:val="22"/>
              <w:lang w:val="en-US"/>
            </w:rPr>
          </w:pPr>
          <w:hyperlink w:anchor="_Toc82790097" w:history="1">
            <w:r w:rsidR="00AA1A1B" w:rsidRPr="00AA1A1B">
              <w:rPr>
                <w:rStyle w:val="aa"/>
                <w:rFonts w:cs="Times New Roman"/>
                <w:bCs/>
                <w:noProof/>
                <w:lang w:val="en-US"/>
              </w:rPr>
              <w:t>4.</w:t>
            </w:r>
            <w:r w:rsidR="00AA1A1B" w:rsidRPr="00AA1A1B">
              <w:rPr>
                <w:rFonts w:asciiTheme="minorHAnsi" w:eastAsiaTheme="minorEastAsia" w:hAnsiTheme="minorHAnsi"/>
                <w:noProof/>
                <w:sz w:val="22"/>
                <w:lang w:val="en-US"/>
              </w:rPr>
              <w:tab/>
            </w:r>
            <w:r w:rsidR="00AA1A1B" w:rsidRPr="00AA1A1B">
              <w:rPr>
                <w:rStyle w:val="aa"/>
                <w:rFonts w:cs="Times New Roman"/>
                <w:bCs/>
                <w:noProof/>
                <w:lang w:val="en-US"/>
              </w:rPr>
              <w:t>Use of raised funds, project selection and evaluation process</w:t>
            </w:r>
            <w:r w:rsidR="00AA1A1B" w:rsidRPr="00AA1A1B">
              <w:rPr>
                <w:noProof/>
                <w:webHidden/>
              </w:rPr>
              <w:tab/>
            </w:r>
            <w:r w:rsidR="00AA1A1B" w:rsidRPr="00AA1A1B">
              <w:rPr>
                <w:noProof/>
                <w:webHidden/>
              </w:rPr>
              <w:fldChar w:fldCharType="begin"/>
            </w:r>
            <w:r w:rsidR="00AA1A1B" w:rsidRPr="00AA1A1B">
              <w:rPr>
                <w:noProof/>
                <w:webHidden/>
              </w:rPr>
              <w:instrText xml:space="preserve"> PAGEREF _Toc82790097 \h </w:instrText>
            </w:r>
            <w:r w:rsidR="00AA1A1B" w:rsidRPr="00AA1A1B">
              <w:rPr>
                <w:noProof/>
                <w:webHidden/>
              </w:rPr>
            </w:r>
            <w:r w:rsidR="00AA1A1B" w:rsidRPr="00AA1A1B">
              <w:rPr>
                <w:noProof/>
                <w:webHidden/>
              </w:rPr>
              <w:fldChar w:fldCharType="separate"/>
            </w:r>
            <w:r w:rsidR="00AA1A1B" w:rsidRPr="00AA1A1B">
              <w:rPr>
                <w:noProof/>
                <w:webHidden/>
              </w:rPr>
              <w:t>4</w:t>
            </w:r>
            <w:r w:rsidR="00AA1A1B" w:rsidRPr="00AA1A1B">
              <w:rPr>
                <w:noProof/>
                <w:webHidden/>
              </w:rPr>
              <w:fldChar w:fldCharType="end"/>
            </w:r>
          </w:hyperlink>
        </w:p>
        <w:p w:rsidR="00AA1A1B" w:rsidRPr="00AA1A1B" w:rsidRDefault="00E87DD6">
          <w:pPr>
            <w:pStyle w:val="12"/>
            <w:tabs>
              <w:tab w:val="left" w:pos="440"/>
            </w:tabs>
            <w:rPr>
              <w:rFonts w:asciiTheme="minorHAnsi" w:eastAsiaTheme="minorEastAsia" w:hAnsiTheme="minorHAnsi"/>
              <w:noProof/>
              <w:sz w:val="22"/>
              <w:lang w:val="en-US"/>
            </w:rPr>
          </w:pPr>
          <w:hyperlink w:anchor="_Toc82790098" w:history="1">
            <w:r w:rsidR="00AA1A1B" w:rsidRPr="00AA1A1B">
              <w:rPr>
                <w:rStyle w:val="aa"/>
                <w:rFonts w:cs="Times New Roman"/>
                <w:bCs/>
                <w:noProof/>
              </w:rPr>
              <w:t>5.</w:t>
            </w:r>
            <w:r w:rsidR="00AA1A1B" w:rsidRPr="00AA1A1B">
              <w:rPr>
                <w:rFonts w:asciiTheme="minorHAnsi" w:eastAsiaTheme="minorEastAsia" w:hAnsiTheme="minorHAnsi"/>
                <w:noProof/>
                <w:sz w:val="22"/>
                <w:lang w:val="en-US"/>
              </w:rPr>
              <w:tab/>
            </w:r>
            <w:r w:rsidR="00AA1A1B" w:rsidRPr="00AA1A1B">
              <w:rPr>
                <w:rStyle w:val="aa"/>
                <w:rFonts w:cs="Times New Roman"/>
                <w:bCs/>
                <w:noProof/>
                <w:lang w:val="en-US"/>
              </w:rPr>
              <w:t>Fund management</w:t>
            </w:r>
            <w:r w:rsidR="00AA1A1B" w:rsidRPr="00AA1A1B">
              <w:rPr>
                <w:noProof/>
                <w:webHidden/>
              </w:rPr>
              <w:tab/>
            </w:r>
            <w:r w:rsidR="00AA1A1B" w:rsidRPr="00AA1A1B">
              <w:rPr>
                <w:noProof/>
                <w:webHidden/>
              </w:rPr>
              <w:fldChar w:fldCharType="begin"/>
            </w:r>
            <w:r w:rsidR="00AA1A1B" w:rsidRPr="00AA1A1B">
              <w:rPr>
                <w:noProof/>
                <w:webHidden/>
              </w:rPr>
              <w:instrText xml:space="preserve"> PAGEREF _Toc82790098 \h </w:instrText>
            </w:r>
            <w:r w:rsidR="00AA1A1B" w:rsidRPr="00AA1A1B">
              <w:rPr>
                <w:noProof/>
                <w:webHidden/>
              </w:rPr>
            </w:r>
            <w:r w:rsidR="00AA1A1B" w:rsidRPr="00AA1A1B">
              <w:rPr>
                <w:noProof/>
                <w:webHidden/>
              </w:rPr>
              <w:fldChar w:fldCharType="separate"/>
            </w:r>
            <w:r w:rsidR="00AA1A1B" w:rsidRPr="00AA1A1B">
              <w:rPr>
                <w:noProof/>
                <w:webHidden/>
              </w:rPr>
              <w:t>5</w:t>
            </w:r>
            <w:r w:rsidR="00AA1A1B" w:rsidRPr="00AA1A1B">
              <w:rPr>
                <w:noProof/>
                <w:webHidden/>
              </w:rPr>
              <w:fldChar w:fldCharType="end"/>
            </w:r>
          </w:hyperlink>
        </w:p>
        <w:p w:rsidR="00AA1A1B" w:rsidRPr="00AA1A1B" w:rsidRDefault="00E87DD6">
          <w:pPr>
            <w:pStyle w:val="12"/>
            <w:tabs>
              <w:tab w:val="left" w:pos="440"/>
            </w:tabs>
            <w:rPr>
              <w:rFonts w:asciiTheme="minorHAnsi" w:eastAsiaTheme="minorEastAsia" w:hAnsiTheme="minorHAnsi"/>
              <w:noProof/>
              <w:sz w:val="22"/>
              <w:lang w:val="en-US"/>
            </w:rPr>
          </w:pPr>
          <w:hyperlink w:anchor="_Toc82790099" w:history="1">
            <w:r w:rsidR="00AA1A1B" w:rsidRPr="00AA1A1B">
              <w:rPr>
                <w:rStyle w:val="aa"/>
                <w:rFonts w:cs="Times New Roman"/>
                <w:bCs/>
                <w:noProof/>
              </w:rPr>
              <w:t>6.</w:t>
            </w:r>
            <w:r w:rsidR="00AA1A1B" w:rsidRPr="00AA1A1B">
              <w:rPr>
                <w:rFonts w:asciiTheme="minorHAnsi" w:eastAsiaTheme="minorEastAsia" w:hAnsiTheme="minorHAnsi"/>
                <w:noProof/>
                <w:sz w:val="22"/>
                <w:lang w:val="en-US"/>
              </w:rPr>
              <w:tab/>
            </w:r>
            <w:r w:rsidR="00AA1A1B" w:rsidRPr="00AA1A1B">
              <w:rPr>
                <w:rStyle w:val="aa"/>
                <w:rFonts w:cs="Times New Roman"/>
                <w:bCs/>
                <w:noProof/>
                <w:lang w:val="en-US"/>
              </w:rPr>
              <w:t>Reporting</w:t>
            </w:r>
            <w:r w:rsidR="00AA1A1B" w:rsidRPr="00AA1A1B">
              <w:rPr>
                <w:noProof/>
                <w:webHidden/>
              </w:rPr>
              <w:tab/>
            </w:r>
            <w:r w:rsidR="00AA1A1B" w:rsidRPr="00AA1A1B">
              <w:rPr>
                <w:noProof/>
                <w:webHidden/>
              </w:rPr>
              <w:fldChar w:fldCharType="begin"/>
            </w:r>
            <w:r w:rsidR="00AA1A1B" w:rsidRPr="00AA1A1B">
              <w:rPr>
                <w:noProof/>
                <w:webHidden/>
              </w:rPr>
              <w:instrText xml:space="preserve"> PAGEREF _Toc82790099 \h </w:instrText>
            </w:r>
            <w:r w:rsidR="00AA1A1B" w:rsidRPr="00AA1A1B">
              <w:rPr>
                <w:noProof/>
                <w:webHidden/>
              </w:rPr>
            </w:r>
            <w:r w:rsidR="00AA1A1B" w:rsidRPr="00AA1A1B">
              <w:rPr>
                <w:noProof/>
                <w:webHidden/>
              </w:rPr>
              <w:fldChar w:fldCharType="separate"/>
            </w:r>
            <w:r w:rsidR="00AA1A1B" w:rsidRPr="00AA1A1B">
              <w:rPr>
                <w:noProof/>
                <w:webHidden/>
              </w:rPr>
              <w:t>5</w:t>
            </w:r>
            <w:r w:rsidR="00AA1A1B" w:rsidRPr="00AA1A1B">
              <w:rPr>
                <w:noProof/>
                <w:webHidden/>
              </w:rPr>
              <w:fldChar w:fldCharType="end"/>
            </w:r>
          </w:hyperlink>
        </w:p>
        <w:p w:rsidR="00AA1A1B" w:rsidRPr="00AA1A1B" w:rsidRDefault="00E87DD6">
          <w:pPr>
            <w:pStyle w:val="12"/>
            <w:tabs>
              <w:tab w:val="left" w:pos="440"/>
            </w:tabs>
            <w:rPr>
              <w:rFonts w:asciiTheme="minorHAnsi" w:eastAsiaTheme="minorEastAsia" w:hAnsiTheme="minorHAnsi"/>
              <w:noProof/>
              <w:sz w:val="22"/>
              <w:lang w:val="en-US"/>
            </w:rPr>
          </w:pPr>
          <w:hyperlink w:anchor="_Toc82790100" w:history="1">
            <w:r w:rsidR="00AA1A1B" w:rsidRPr="00AA1A1B">
              <w:rPr>
                <w:rStyle w:val="aa"/>
                <w:rFonts w:cs="Times New Roman"/>
                <w:bCs/>
                <w:noProof/>
              </w:rPr>
              <w:t>7.</w:t>
            </w:r>
            <w:r w:rsidR="00AA1A1B" w:rsidRPr="00AA1A1B">
              <w:rPr>
                <w:rFonts w:asciiTheme="minorHAnsi" w:eastAsiaTheme="minorEastAsia" w:hAnsiTheme="minorHAnsi"/>
                <w:noProof/>
                <w:sz w:val="22"/>
                <w:lang w:val="en-US"/>
              </w:rPr>
              <w:tab/>
            </w:r>
            <w:r w:rsidR="00AA1A1B" w:rsidRPr="00AA1A1B">
              <w:rPr>
                <w:rStyle w:val="aa"/>
                <w:rFonts w:cs="Times New Roman"/>
                <w:bCs/>
                <w:noProof/>
              </w:rPr>
              <w:t>External Review</w:t>
            </w:r>
            <w:r w:rsidR="00AA1A1B" w:rsidRPr="00AA1A1B">
              <w:rPr>
                <w:noProof/>
                <w:webHidden/>
              </w:rPr>
              <w:tab/>
            </w:r>
            <w:r w:rsidR="00AA1A1B" w:rsidRPr="00AA1A1B">
              <w:rPr>
                <w:noProof/>
                <w:webHidden/>
              </w:rPr>
              <w:fldChar w:fldCharType="begin"/>
            </w:r>
            <w:r w:rsidR="00AA1A1B" w:rsidRPr="00AA1A1B">
              <w:rPr>
                <w:noProof/>
                <w:webHidden/>
              </w:rPr>
              <w:instrText xml:space="preserve"> PAGEREF _Toc82790100 \h </w:instrText>
            </w:r>
            <w:r w:rsidR="00AA1A1B" w:rsidRPr="00AA1A1B">
              <w:rPr>
                <w:noProof/>
                <w:webHidden/>
              </w:rPr>
            </w:r>
            <w:r w:rsidR="00AA1A1B" w:rsidRPr="00AA1A1B">
              <w:rPr>
                <w:noProof/>
                <w:webHidden/>
              </w:rPr>
              <w:fldChar w:fldCharType="separate"/>
            </w:r>
            <w:r w:rsidR="00AA1A1B" w:rsidRPr="00AA1A1B">
              <w:rPr>
                <w:noProof/>
                <w:webHidden/>
              </w:rPr>
              <w:t>6</w:t>
            </w:r>
            <w:r w:rsidR="00AA1A1B" w:rsidRPr="00AA1A1B">
              <w:rPr>
                <w:noProof/>
                <w:webHidden/>
              </w:rPr>
              <w:fldChar w:fldCharType="end"/>
            </w:r>
          </w:hyperlink>
        </w:p>
        <w:p w:rsidR="009B2F24" w:rsidRDefault="009B2F24">
          <w:r w:rsidRPr="00AA1A1B">
            <w:rPr>
              <w:bCs/>
            </w:rPr>
            <w:fldChar w:fldCharType="end"/>
          </w:r>
        </w:p>
      </w:sdtContent>
    </w:sdt>
    <w:p w:rsidR="004B5EE2" w:rsidRDefault="004B5EE2" w:rsidP="004B5EE2">
      <w:pPr>
        <w:spacing w:after="160" w:line="259" w:lineRule="auto"/>
        <w:rPr>
          <w:rFonts w:cs="Times New Roman"/>
          <w:szCs w:val="24"/>
        </w:rPr>
      </w:pPr>
      <w:r>
        <w:rPr>
          <w:rFonts w:cs="Times New Roman"/>
          <w:szCs w:val="24"/>
        </w:rPr>
        <w:br w:type="page"/>
      </w:r>
    </w:p>
    <w:p w:rsidR="004B5EE2" w:rsidRPr="004B5EE2" w:rsidRDefault="00D3541E" w:rsidP="00824464">
      <w:pPr>
        <w:pStyle w:val="1"/>
        <w:numPr>
          <w:ilvl w:val="0"/>
          <w:numId w:val="15"/>
        </w:numPr>
        <w:rPr>
          <w:rFonts w:ascii="Times New Roman" w:hAnsi="Times New Roman" w:cs="Times New Roman"/>
          <w:color w:val="auto"/>
        </w:rPr>
      </w:pPr>
      <w:bookmarkStart w:id="1" w:name="_Toc82790094"/>
      <w:r>
        <w:rPr>
          <w:rStyle w:val="s1"/>
          <w:color w:val="auto"/>
          <w:lang w:val="en-US"/>
        </w:rPr>
        <w:lastRenderedPageBreak/>
        <w:t>Ceneral provisions</w:t>
      </w:r>
      <w:bookmarkEnd w:id="1"/>
    </w:p>
    <w:p w:rsidR="004B5EE2" w:rsidRPr="00D3541E" w:rsidRDefault="00D3541E" w:rsidP="004B5EE2">
      <w:pPr>
        <w:jc w:val="both"/>
        <w:rPr>
          <w:rFonts w:cs="Times New Roman"/>
          <w:szCs w:val="24"/>
          <w:lang w:val="en-US"/>
        </w:rPr>
      </w:pPr>
      <w:r w:rsidRPr="00D3541E">
        <w:rPr>
          <w:rFonts w:cs="Times New Roman"/>
          <w:szCs w:val="24"/>
          <w:lang w:val="en-US"/>
        </w:rPr>
        <w:t xml:space="preserve">This Policy of </w:t>
      </w:r>
      <w:r w:rsidR="0053658B" w:rsidRPr="00D3541E">
        <w:rPr>
          <w:rFonts w:cs="Times New Roman"/>
          <w:szCs w:val="24"/>
          <w:lang w:val="en-US"/>
        </w:rPr>
        <w:t>"Damu"</w:t>
      </w:r>
      <w:r w:rsidR="0053658B">
        <w:rPr>
          <w:rFonts w:cs="Times New Roman"/>
          <w:szCs w:val="24"/>
          <w:lang w:val="en-US"/>
        </w:rPr>
        <w:t xml:space="preserve"> </w:t>
      </w:r>
      <w:r w:rsidRPr="00D3541E">
        <w:rPr>
          <w:rFonts w:cs="Times New Roman"/>
          <w:szCs w:val="24"/>
          <w:lang w:val="en-US"/>
        </w:rPr>
        <w:t>Entrepreneurship Development Fund</w:t>
      </w:r>
      <w:r w:rsidR="0053658B" w:rsidRPr="00D3541E">
        <w:rPr>
          <w:rFonts w:cs="Times New Roman"/>
          <w:szCs w:val="24"/>
          <w:lang w:val="en-US"/>
        </w:rPr>
        <w:t>"</w:t>
      </w:r>
      <w:r w:rsidR="00AA1A1B" w:rsidRPr="00AA1A1B">
        <w:rPr>
          <w:rFonts w:cs="Times New Roman"/>
          <w:szCs w:val="24"/>
          <w:lang w:val="en-US"/>
        </w:rPr>
        <w:t xml:space="preserve"> </w:t>
      </w:r>
      <w:r w:rsidR="00AA1A1B" w:rsidRPr="00D3541E">
        <w:rPr>
          <w:rFonts w:cs="Times New Roman"/>
          <w:szCs w:val="24"/>
          <w:lang w:val="en-US"/>
        </w:rPr>
        <w:t>JSC</w:t>
      </w:r>
      <w:r>
        <w:rPr>
          <w:rFonts w:cs="Times New Roman"/>
          <w:szCs w:val="24"/>
          <w:lang w:val="en-US"/>
        </w:rPr>
        <w:t xml:space="preserve"> </w:t>
      </w:r>
      <w:r w:rsidRPr="00D3541E">
        <w:rPr>
          <w:rFonts w:cs="Times New Roman"/>
          <w:szCs w:val="24"/>
          <w:lang w:val="en-US"/>
        </w:rPr>
        <w:t>in the field of social bonds (hereinafter - the Policy) is developed in accordance with the requirements of the International Capital Market Association (ICMA) (Principles of Social Bonds ("PSO") 2021)</w:t>
      </w:r>
      <w:r w:rsidR="00AB0153" w:rsidRPr="00FA607C">
        <w:rPr>
          <w:rStyle w:val="a9"/>
          <w:rFonts w:cs="Times New Roman"/>
          <w:szCs w:val="24"/>
        </w:rPr>
        <w:footnoteReference w:id="1"/>
      </w:r>
      <w:r w:rsidR="00AB0153" w:rsidRPr="00D3541E">
        <w:rPr>
          <w:rFonts w:cs="Times New Roman"/>
          <w:szCs w:val="24"/>
          <w:lang w:val="en-US"/>
        </w:rPr>
        <w:t xml:space="preserve">. </w:t>
      </w:r>
    </w:p>
    <w:p w:rsidR="004B5EE2" w:rsidRPr="00D3541E" w:rsidRDefault="00D3541E" w:rsidP="004B5EE2">
      <w:pPr>
        <w:jc w:val="both"/>
        <w:rPr>
          <w:rFonts w:cs="Times New Roman"/>
          <w:szCs w:val="24"/>
          <w:lang w:val="en-US"/>
        </w:rPr>
      </w:pPr>
      <w:r w:rsidRPr="00D3541E">
        <w:rPr>
          <w:rFonts w:cs="Times New Roman"/>
          <w:szCs w:val="24"/>
          <w:lang w:val="en-US"/>
        </w:rPr>
        <w:t>"Entrepreneurship Development Fund</w:t>
      </w:r>
      <w:r w:rsidR="00AA1A1B">
        <w:rPr>
          <w:rFonts w:cs="Times New Roman"/>
          <w:szCs w:val="24"/>
          <w:lang w:val="en-US"/>
        </w:rPr>
        <w:t xml:space="preserve"> </w:t>
      </w:r>
      <w:r w:rsidRPr="00D3541E">
        <w:rPr>
          <w:rFonts w:cs="Times New Roman"/>
          <w:szCs w:val="24"/>
          <w:lang w:val="en-US"/>
        </w:rPr>
        <w:t>"Damu"</w:t>
      </w:r>
      <w:r w:rsidR="00653152" w:rsidRPr="00653152">
        <w:rPr>
          <w:rFonts w:cs="Times New Roman"/>
          <w:szCs w:val="24"/>
          <w:lang w:val="en-US"/>
        </w:rPr>
        <w:t xml:space="preserve"> </w:t>
      </w:r>
      <w:r w:rsidR="00653152" w:rsidRPr="00D3541E">
        <w:rPr>
          <w:rFonts w:cs="Times New Roman"/>
          <w:szCs w:val="24"/>
          <w:lang w:val="en-US"/>
        </w:rPr>
        <w:t>JSC</w:t>
      </w:r>
      <w:r w:rsidR="00AA1A1B">
        <w:rPr>
          <w:rFonts w:cs="Times New Roman"/>
          <w:szCs w:val="24"/>
          <w:lang w:val="en-US"/>
        </w:rPr>
        <w:t xml:space="preserve"> </w:t>
      </w:r>
      <w:r w:rsidRPr="00D3541E">
        <w:rPr>
          <w:rFonts w:cs="Times New Roman"/>
          <w:szCs w:val="24"/>
          <w:lang w:val="en-US"/>
        </w:rPr>
        <w:t xml:space="preserve">(hereinafter </w:t>
      </w:r>
      <w:r>
        <w:rPr>
          <w:rFonts w:cs="Times New Roman"/>
          <w:szCs w:val="24"/>
          <w:lang w:val="en-US"/>
        </w:rPr>
        <w:t>–</w:t>
      </w:r>
      <w:r w:rsidRPr="00D3541E">
        <w:rPr>
          <w:rFonts w:cs="Times New Roman"/>
          <w:szCs w:val="24"/>
          <w:lang w:val="en-US"/>
        </w:rPr>
        <w:t xml:space="preserve"> the</w:t>
      </w:r>
      <w:r>
        <w:rPr>
          <w:rFonts w:cs="Times New Roman"/>
          <w:szCs w:val="24"/>
          <w:lang w:val="en-US"/>
        </w:rPr>
        <w:t xml:space="preserve"> </w:t>
      </w:r>
      <w:r w:rsidRPr="00D3541E">
        <w:rPr>
          <w:rFonts w:cs="Times New Roman"/>
          <w:szCs w:val="24"/>
          <w:lang w:val="en-US"/>
        </w:rPr>
        <w:t>"Damu"</w:t>
      </w:r>
      <w:r>
        <w:rPr>
          <w:rFonts w:cs="Times New Roman"/>
          <w:szCs w:val="24"/>
          <w:lang w:val="en-US"/>
        </w:rPr>
        <w:t xml:space="preserve"> </w:t>
      </w:r>
      <w:r w:rsidRPr="00D3541E">
        <w:rPr>
          <w:rFonts w:cs="Times New Roman"/>
          <w:szCs w:val="24"/>
          <w:lang w:val="en-US"/>
        </w:rPr>
        <w:t>Fund or the Fund), as a special fund for the development of entrepreneurship, within the framework of its policy on sustainable development is ready to support micro, small and medium-sized private entrepreneurship (hereinafter - SMME) through the implementation of the issue social bonds</w:t>
      </w:r>
      <w:r w:rsidR="004B5EE2" w:rsidRPr="00D3541E">
        <w:rPr>
          <w:rFonts w:cs="Times New Roman"/>
          <w:szCs w:val="24"/>
          <w:lang w:val="en-US"/>
        </w:rPr>
        <w:t>.</w:t>
      </w:r>
    </w:p>
    <w:p w:rsidR="004B5EE2" w:rsidRPr="00D3541E" w:rsidRDefault="00D3541E" w:rsidP="004B5EE2">
      <w:pPr>
        <w:jc w:val="both"/>
        <w:rPr>
          <w:rFonts w:cs="Times New Roman"/>
          <w:szCs w:val="24"/>
          <w:lang w:val="en-US"/>
        </w:rPr>
      </w:pPr>
      <w:r w:rsidRPr="00D3541E">
        <w:rPr>
          <w:rFonts w:cs="Times New Roman"/>
          <w:szCs w:val="24"/>
          <w:lang w:val="en-US"/>
        </w:rPr>
        <w:t>The "Damu" Fund intends to finance projects from borrowed funds through conditional placement of funds in second-tier banks and / or microfinance organizations and / or leasing companies. The implementation of such projects will assist in updating the fixed assets of SMMEs, which will increase the volume of financing for SMMEs, in particular, it will contribute to an increase in the level of financial activity of SMMEs, will have a socio-economic effect in the form of an increase in the gross value added of SMMEs, the creation of new jobs, an increase in the wage fund. labor of SMME workers and taxes paid by them</w:t>
      </w:r>
      <w:r w:rsidR="004B5EE2" w:rsidRPr="00D3541E">
        <w:rPr>
          <w:rFonts w:cs="Times New Roman"/>
          <w:szCs w:val="24"/>
          <w:lang w:val="en-US"/>
        </w:rPr>
        <w:t>.</w:t>
      </w:r>
    </w:p>
    <w:p w:rsidR="004B5EE2" w:rsidRPr="00D3541E" w:rsidRDefault="00D3541E" w:rsidP="004B5EE2">
      <w:pPr>
        <w:jc w:val="both"/>
        <w:rPr>
          <w:rFonts w:cs="Times New Roman"/>
          <w:szCs w:val="24"/>
          <w:lang w:val="en-US"/>
        </w:rPr>
      </w:pPr>
      <w:r w:rsidRPr="00D3541E">
        <w:rPr>
          <w:rFonts w:cs="Times New Roman"/>
          <w:szCs w:val="24"/>
          <w:lang w:val="en-US"/>
        </w:rPr>
        <w:t xml:space="preserve">The </w:t>
      </w:r>
      <w:r w:rsidR="0053658B" w:rsidRPr="00D3541E">
        <w:rPr>
          <w:rFonts w:cs="Times New Roman"/>
          <w:szCs w:val="24"/>
          <w:lang w:val="en-US"/>
        </w:rPr>
        <w:t>"</w:t>
      </w:r>
      <w:r w:rsidRPr="00D3541E">
        <w:rPr>
          <w:rFonts w:cs="Times New Roman"/>
          <w:szCs w:val="24"/>
          <w:lang w:val="en-US"/>
        </w:rPr>
        <w:t>Damu</w:t>
      </w:r>
      <w:r w:rsidR="0053658B" w:rsidRPr="00D3541E">
        <w:rPr>
          <w:rFonts w:cs="Times New Roman"/>
          <w:szCs w:val="24"/>
          <w:lang w:val="en-US"/>
        </w:rPr>
        <w:t>"</w:t>
      </w:r>
      <w:r w:rsidRPr="00D3541E">
        <w:rPr>
          <w:rFonts w:cs="Times New Roman"/>
          <w:szCs w:val="24"/>
          <w:lang w:val="en-US"/>
        </w:rPr>
        <w:t xml:space="preserve"> Fund will strengthen cooperation with international financial organizations in terms of raising funds to solve socially significant problems</w:t>
      </w:r>
      <w:r w:rsidR="004B5EE2" w:rsidRPr="00D3541E">
        <w:rPr>
          <w:rFonts w:cs="Times New Roman"/>
          <w:szCs w:val="24"/>
          <w:lang w:val="en-US"/>
        </w:rPr>
        <w:t>.</w:t>
      </w:r>
    </w:p>
    <w:p w:rsidR="004B5EE2" w:rsidRPr="00D3541E" w:rsidRDefault="00D3541E" w:rsidP="004B5EE2">
      <w:pPr>
        <w:jc w:val="both"/>
        <w:rPr>
          <w:rFonts w:cs="Times New Roman"/>
          <w:szCs w:val="24"/>
          <w:lang w:val="en-US"/>
        </w:rPr>
      </w:pPr>
      <w:r w:rsidRPr="00D3541E">
        <w:rPr>
          <w:rFonts w:cs="Times New Roman"/>
          <w:szCs w:val="24"/>
          <w:lang w:val="en-US"/>
        </w:rPr>
        <w:t xml:space="preserve">Within the framework of attracting additional sources of financing, the “Damu” Fund is also considering the possibility of attracting additional financing through the issue of bonds, both classical and social. Depending on the financing needs of the SMME, the </w:t>
      </w:r>
      <w:r w:rsidR="0053658B" w:rsidRPr="00D3541E">
        <w:rPr>
          <w:rFonts w:cs="Times New Roman"/>
          <w:szCs w:val="24"/>
          <w:lang w:val="en-US"/>
        </w:rPr>
        <w:t>"</w:t>
      </w:r>
      <w:r w:rsidRPr="00D3541E">
        <w:rPr>
          <w:rFonts w:cs="Times New Roman"/>
          <w:szCs w:val="24"/>
          <w:lang w:val="en-US"/>
        </w:rPr>
        <w:t>Damu</w:t>
      </w:r>
      <w:r w:rsidR="0053658B" w:rsidRPr="00D3541E">
        <w:rPr>
          <w:rFonts w:cs="Times New Roman"/>
          <w:szCs w:val="24"/>
          <w:lang w:val="en-US"/>
        </w:rPr>
        <w:t>"</w:t>
      </w:r>
      <w:r w:rsidRPr="00D3541E">
        <w:rPr>
          <w:rFonts w:cs="Times New Roman"/>
          <w:szCs w:val="24"/>
          <w:lang w:val="en-US"/>
        </w:rPr>
        <w:t xml:space="preserve"> Fund will explore opportunities to raise funds by issuing bonds / social bonds in the domestic capital market</w:t>
      </w:r>
      <w:r w:rsidR="004B5EE2" w:rsidRPr="00D3541E">
        <w:rPr>
          <w:rFonts w:cs="Times New Roman"/>
          <w:szCs w:val="24"/>
          <w:lang w:val="en-US"/>
        </w:rPr>
        <w:t xml:space="preserve">. </w:t>
      </w:r>
    </w:p>
    <w:p w:rsidR="004B5EE2" w:rsidRPr="00D3541E" w:rsidRDefault="00D3541E" w:rsidP="004B5EE2">
      <w:pPr>
        <w:jc w:val="both"/>
        <w:rPr>
          <w:rFonts w:cs="Times New Roman"/>
          <w:szCs w:val="24"/>
          <w:lang w:val="en-US"/>
        </w:rPr>
      </w:pPr>
      <w:r w:rsidRPr="00D3541E">
        <w:rPr>
          <w:rFonts w:cs="Times New Roman"/>
          <w:szCs w:val="24"/>
          <w:lang w:val="en-US"/>
        </w:rPr>
        <w:t xml:space="preserve">When attracting borrowings by issuing bonds / social bonds, work will be carried out to increase the investment attractiveness of the </w:t>
      </w:r>
      <w:r w:rsidR="0053658B" w:rsidRPr="00D3541E">
        <w:rPr>
          <w:rFonts w:cs="Times New Roman"/>
          <w:szCs w:val="24"/>
          <w:lang w:val="en-US"/>
        </w:rPr>
        <w:t>"</w:t>
      </w:r>
      <w:r w:rsidRPr="00D3541E">
        <w:rPr>
          <w:rFonts w:cs="Times New Roman"/>
          <w:szCs w:val="24"/>
          <w:lang w:val="en-US"/>
        </w:rPr>
        <w:t>Damu</w:t>
      </w:r>
      <w:r w:rsidR="0053658B" w:rsidRPr="00D3541E">
        <w:rPr>
          <w:rFonts w:cs="Times New Roman"/>
          <w:szCs w:val="24"/>
          <w:lang w:val="en-US"/>
        </w:rPr>
        <w:t>"</w:t>
      </w:r>
      <w:r w:rsidRPr="00D3541E">
        <w:rPr>
          <w:rFonts w:cs="Times New Roman"/>
          <w:szCs w:val="24"/>
          <w:lang w:val="en-US"/>
        </w:rPr>
        <w:t xml:space="preserve"> Fund, including maintaining a credit rating by the </w:t>
      </w:r>
      <w:r w:rsidR="0053658B" w:rsidRPr="00D3541E">
        <w:rPr>
          <w:rFonts w:cs="Times New Roman"/>
          <w:szCs w:val="24"/>
          <w:lang w:val="en-US"/>
        </w:rPr>
        <w:t>"</w:t>
      </w:r>
      <w:r w:rsidRPr="00D3541E">
        <w:rPr>
          <w:rFonts w:cs="Times New Roman"/>
          <w:szCs w:val="24"/>
          <w:lang w:val="en-US"/>
        </w:rPr>
        <w:t>Damu</w:t>
      </w:r>
      <w:r w:rsidR="0053658B" w:rsidRPr="00D3541E">
        <w:rPr>
          <w:rFonts w:cs="Times New Roman"/>
          <w:szCs w:val="24"/>
          <w:lang w:val="en-US"/>
        </w:rPr>
        <w:t>"</w:t>
      </w:r>
      <w:r w:rsidRPr="00D3541E">
        <w:rPr>
          <w:rFonts w:cs="Times New Roman"/>
          <w:szCs w:val="24"/>
          <w:lang w:val="en-US"/>
        </w:rPr>
        <w:t xml:space="preserve"> Fund not lower than the sovereign one. Borrowings will be carried out while maintaining the financial stability of the "Damu" Fund, subject to the established limits and marginal financial ratios</w:t>
      </w:r>
      <w:r w:rsidR="004B5EE2" w:rsidRPr="00D3541E">
        <w:rPr>
          <w:rFonts w:cs="Times New Roman"/>
          <w:szCs w:val="24"/>
          <w:lang w:val="en-US"/>
        </w:rPr>
        <w:t>.</w:t>
      </w:r>
    </w:p>
    <w:p w:rsidR="00AB0153" w:rsidRPr="00D3541E" w:rsidRDefault="00D3541E" w:rsidP="00AB0153">
      <w:pPr>
        <w:jc w:val="both"/>
        <w:rPr>
          <w:rFonts w:cs="Times New Roman"/>
          <w:szCs w:val="24"/>
          <w:lang w:val="en-US"/>
        </w:rPr>
      </w:pPr>
      <w:r w:rsidRPr="00D3541E">
        <w:rPr>
          <w:rFonts w:cs="Times New Roman"/>
          <w:szCs w:val="24"/>
          <w:lang w:val="en-US"/>
        </w:rPr>
        <w:t xml:space="preserve">The policy is designed to ensure transparency in the issuance and reporting processes for the </w:t>
      </w:r>
      <w:r w:rsidR="0053658B" w:rsidRPr="00D3541E">
        <w:rPr>
          <w:rFonts w:cs="Times New Roman"/>
          <w:szCs w:val="24"/>
          <w:lang w:val="en-US"/>
        </w:rPr>
        <w:t>"</w:t>
      </w:r>
      <w:r w:rsidRPr="00D3541E">
        <w:rPr>
          <w:rFonts w:cs="Times New Roman"/>
          <w:szCs w:val="24"/>
          <w:lang w:val="en-US"/>
        </w:rPr>
        <w:t>Damu</w:t>
      </w:r>
      <w:r w:rsidR="0053658B" w:rsidRPr="00D3541E">
        <w:rPr>
          <w:rFonts w:cs="Times New Roman"/>
          <w:szCs w:val="24"/>
          <w:lang w:val="en-US"/>
        </w:rPr>
        <w:t>"</w:t>
      </w:r>
      <w:r w:rsidRPr="00D3541E">
        <w:rPr>
          <w:rFonts w:cs="Times New Roman"/>
          <w:szCs w:val="24"/>
          <w:lang w:val="en-US"/>
        </w:rPr>
        <w:t xml:space="preserve"> </w:t>
      </w:r>
      <w:r w:rsidR="0053658B">
        <w:rPr>
          <w:rFonts w:cs="Times New Roman"/>
          <w:szCs w:val="24"/>
          <w:lang w:val="en-US"/>
        </w:rPr>
        <w:t>Fund</w:t>
      </w:r>
      <w:r w:rsidRPr="00D3541E">
        <w:rPr>
          <w:rFonts w:cs="Times New Roman"/>
          <w:szCs w:val="24"/>
          <w:lang w:val="en-US"/>
        </w:rPr>
        <w:t>'s social bonds. The structure is based on the four major components of the SIG: "Use of Raised Funds, Assessment and Selection Process," "Management of Raised Funds," and "Reporting"</w:t>
      </w:r>
      <w:r w:rsidR="00AB0153" w:rsidRPr="00D3541E">
        <w:rPr>
          <w:rFonts w:cs="Times New Roman"/>
          <w:szCs w:val="24"/>
          <w:lang w:val="en-US"/>
        </w:rPr>
        <w:t xml:space="preserve">. </w:t>
      </w:r>
    </w:p>
    <w:p w:rsidR="00AB0153" w:rsidRPr="00D3541E" w:rsidRDefault="00D3541E" w:rsidP="00AB0153">
      <w:pPr>
        <w:jc w:val="both"/>
        <w:rPr>
          <w:rFonts w:cs="Times New Roman"/>
          <w:szCs w:val="24"/>
          <w:lang w:val="en-US"/>
        </w:rPr>
      </w:pPr>
      <w:r w:rsidRPr="00D3541E">
        <w:rPr>
          <w:rFonts w:cs="Times New Roman"/>
          <w:szCs w:val="24"/>
          <w:lang w:val="en-US"/>
        </w:rPr>
        <w:t xml:space="preserve">Under this Policy, the </w:t>
      </w:r>
      <w:r w:rsidR="0053658B" w:rsidRPr="00D3541E">
        <w:rPr>
          <w:rFonts w:cs="Times New Roman"/>
          <w:szCs w:val="24"/>
          <w:lang w:val="en-US"/>
        </w:rPr>
        <w:t>"</w:t>
      </w:r>
      <w:r w:rsidRPr="00D3541E">
        <w:rPr>
          <w:rFonts w:cs="Times New Roman"/>
          <w:szCs w:val="24"/>
          <w:lang w:val="en-US"/>
        </w:rPr>
        <w:t>Damu</w:t>
      </w:r>
      <w:r w:rsidR="0053658B" w:rsidRPr="00D3541E">
        <w:rPr>
          <w:rFonts w:cs="Times New Roman"/>
          <w:szCs w:val="24"/>
          <w:lang w:val="en-US"/>
        </w:rPr>
        <w:t>"</w:t>
      </w:r>
      <w:r w:rsidRPr="00D3541E">
        <w:rPr>
          <w:rFonts w:cs="Times New Roman"/>
          <w:szCs w:val="24"/>
          <w:lang w:val="en-US"/>
        </w:rPr>
        <w:t xml:space="preserve"> Fund may issue social bonds in a variety of formats in accordance with the prevailing conditions described in this Policy</w:t>
      </w:r>
      <w:r w:rsidR="00AB0153" w:rsidRPr="00D3541E">
        <w:rPr>
          <w:rFonts w:cs="Times New Roman"/>
          <w:szCs w:val="24"/>
          <w:lang w:val="en-US"/>
        </w:rPr>
        <w:t>.</w:t>
      </w:r>
    </w:p>
    <w:p w:rsidR="00AB0153" w:rsidRPr="00D3541E" w:rsidRDefault="00D3541E" w:rsidP="00AB0153">
      <w:pPr>
        <w:jc w:val="both"/>
        <w:rPr>
          <w:rFonts w:cs="Times New Roman"/>
          <w:szCs w:val="24"/>
          <w:lang w:val="en-US"/>
        </w:rPr>
      </w:pPr>
      <w:r w:rsidRPr="00D3541E">
        <w:rPr>
          <w:rFonts w:cs="Times New Roman"/>
          <w:szCs w:val="24"/>
          <w:lang w:val="en-US"/>
        </w:rPr>
        <w:t xml:space="preserve">The Fund seeks to make full use of social bonds as an innovative debt instrument, to support and develop </w:t>
      </w:r>
      <w:r w:rsidR="0053658B">
        <w:rPr>
          <w:rFonts w:cs="Times New Roman"/>
          <w:szCs w:val="24"/>
          <w:lang w:val="en-US"/>
        </w:rPr>
        <w:t>SMME</w:t>
      </w:r>
      <w:r w:rsidRPr="00D3541E">
        <w:rPr>
          <w:rFonts w:cs="Times New Roman"/>
          <w:szCs w:val="24"/>
          <w:lang w:val="en-US"/>
        </w:rPr>
        <w:t>s</w:t>
      </w:r>
      <w:r w:rsidR="00AB0153" w:rsidRPr="00D3541E">
        <w:rPr>
          <w:rFonts w:cs="Times New Roman"/>
          <w:szCs w:val="24"/>
          <w:lang w:val="en-US"/>
        </w:rPr>
        <w:t>.</w:t>
      </w:r>
    </w:p>
    <w:p w:rsidR="004B5EE2" w:rsidRPr="00D3541E" w:rsidRDefault="004B5EE2" w:rsidP="001D718C">
      <w:pPr>
        <w:tabs>
          <w:tab w:val="left" w:pos="993"/>
        </w:tabs>
        <w:jc w:val="both"/>
        <w:rPr>
          <w:rFonts w:cs="Times New Roman"/>
          <w:b/>
          <w:bCs/>
          <w:szCs w:val="24"/>
          <w:lang w:val="en-US"/>
        </w:rPr>
      </w:pPr>
    </w:p>
    <w:p w:rsidR="001D718C" w:rsidRPr="009B2F24" w:rsidRDefault="00D3541E" w:rsidP="00824464">
      <w:pPr>
        <w:pStyle w:val="1"/>
        <w:numPr>
          <w:ilvl w:val="0"/>
          <w:numId w:val="15"/>
        </w:numPr>
        <w:spacing w:before="0"/>
        <w:rPr>
          <w:rFonts w:ascii="Times New Roman" w:hAnsi="Times New Roman" w:cs="Times New Roman"/>
          <w:b/>
          <w:bCs/>
          <w:color w:val="auto"/>
        </w:rPr>
      </w:pPr>
      <w:bookmarkStart w:id="2" w:name="_Toc82790095"/>
      <w:r w:rsidRPr="00D3541E">
        <w:rPr>
          <w:rFonts w:ascii="Times New Roman" w:hAnsi="Times New Roman" w:cs="Times New Roman"/>
          <w:b/>
          <w:bCs/>
          <w:color w:val="auto"/>
        </w:rPr>
        <w:t>Definitions and abbreviations</w:t>
      </w:r>
      <w:bookmarkEnd w:id="2"/>
    </w:p>
    <w:p w:rsidR="001D718C" w:rsidRPr="00D3541E" w:rsidRDefault="00D3541E" w:rsidP="002C5DBC">
      <w:pPr>
        <w:tabs>
          <w:tab w:val="left" w:pos="993"/>
        </w:tabs>
        <w:jc w:val="both"/>
        <w:rPr>
          <w:rFonts w:cs="Times New Roman"/>
          <w:szCs w:val="24"/>
          <w:lang w:val="en-US"/>
        </w:rPr>
      </w:pPr>
      <w:r w:rsidRPr="00D3541E">
        <w:rPr>
          <w:rFonts w:cs="Times New Roman"/>
          <w:szCs w:val="24"/>
          <w:lang w:val="en-US"/>
        </w:rPr>
        <w:t>The following key terms and abbreviations are used in this Policy</w:t>
      </w:r>
      <w:r w:rsidR="001D718C" w:rsidRPr="00D3541E">
        <w:rPr>
          <w:rFonts w:cs="Times New Roman"/>
          <w:szCs w:val="24"/>
          <w:lang w:val="en-US"/>
        </w:rPr>
        <w:t>:</w:t>
      </w:r>
    </w:p>
    <w:p w:rsidR="001D718C" w:rsidRPr="00D3541E" w:rsidRDefault="00D3541E" w:rsidP="00D3541E">
      <w:pPr>
        <w:tabs>
          <w:tab w:val="left" w:pos="284"/>
          <w:tab w:val="left" w:pos="426"/>
          <w:tab w:val="left" w:pos="993"/>
        </w:tabs>
        <w:jc w:val="both"/>
        <w:rPr>
          <w:rFonts w:cs="Times New Roman"/>
          <w:szCs w:val="24"/>
          <w:lang w:val="en-US"/>
        </w:rPr>
      </w:pPr>
      <w:r>
        <w:rPr>
          <w:rFonts w:eastAsia="Times New Roman" w:cs="Times New Roman"/>
          <w:b/>
          <w:szCs w:val="24"/>
          <w:lang w:val="en-US"/>
        </w:rPr>
        <w:t>Bank</w:t>
      </w:r>
      <w:r w:rsidR="001D718C" w:rsidRPr="00D3541E">
        <w:rPr>
          <w:rFonts w:eastAsia="Times New Roman" w:cs="Times New Roman"/>
          <w:b/>
          <w:szCs w:val="24"/>
          <w:lang w:val="en-US"/>
        </w:rPr>
        <w:t xml:space="preserve"> (</w:t>
      </w:r>
      <w:r>
        <w:rPr>
          <w:rFonts w:eastAsia="Times New Roman" w:cs="Times New Roman"/>
          <w:b/>
          <w:szCs w:val="24"/>
          <w:lang w:val="en-US"/>
        </w:rPr>
        <w:t>Bank</w:t>
      </w:r>
      <w:r w:rsidRPr="00D3541E">
        <w:rPr>
          <w:rFonts w:eastAsia="Times New Roman" w:cs="Times New Roman"/>
          <w:b/>
          <w:szCs w:val="24"/>
          <w:lang w:val="en-US"/>
        </w:rPr>
        <w:t>/</w:t>
      </w:r>
      <w:r>
        <w:rPr>
          <w:rFonts w:eastAsia="Times New Roman" w:cs="Times New Roman"/>
          <w:b/>
          <w:szCs w:val="24"/>
          <w:lang w:val="en-US"/>
        </w:rPr>
        <w:t>STB</w:t>
      </w:r>
      <w:r w:rsidR="001D718C" w:rsidRPr="00D3541E">
        <w:rPr>
          <w:rFonts w:eastAsia="Times New Roman" w:cs="Times New Roman"/>
          <w:b/>
          <w:szCs w:val="24"/>
          <w:lang w:val="en-US"/>
        </w:rPr>
        <w:t>)</w:t>
      </w:r>
      <w:r w:rsidR="001D718C" w:rsidRPr="00D3541E">
        <w:rPr>
          <w:rFonts w:eastAsia="Times New Roman" w:cs="Times New Roman"/>
          <w:szCs w:val="24"/>
          <w:lang w:val="en-US"/>
        </w:rPr>
        <w:t xml:space="preserve"> - </w:t>
      </w:r>
      <w:r w:rsidRPr="00D3541E">
        <w:rPr>
          <w:rFonts w:cs="Times New Roman"/>
          <w:szCs w:val="24"/>
          <w:lang w:val="en-US"/>
        </w:rPr>
        <w:t>a legal entity which is a commercial organization, which is entitled to carry out banking activities in accordance with the Law of the Republic of Kazakhstan "On Banks and Banking Activities in the Republic of Kazakhstan", and which is registered with the registration authorities of the Republic of Kazakhstan as a Bank and has a valid license of the National Bank of the Republic of Kazakhstan to carry out banking operations</w:t>
      </w:r>
    </w:p>
    <w:p w:rsidR="00DA7153" w:rsidRPr="00D3541E" w:rsidRDefault="00D3541E" w:rsidP="00506D95">
      <w:pPr>
        <w:tabs>
          <w:tab w:val="left" w:pos="284"/>
          <w:tab w:val="left" w:pos="426"/>
          <w:tab w:val="left" w:pos="993"/>
        </w:tabs>
        <w:jc w:val="both"/>
        <w:rPr>
          <w:rFonts w:cs="Times New Roman"/>
          <w:szCs w:val="24"/>
          <w:lang w:val="en-US"/>
        </w:rPr>
      </w:pPr>
      <w:r w:rsidRPr="00D3541E">
        <w:rPr>
          <w:rFonts w:cs="Times New Roman"/>
          <w:b/>
          <w:szCs w:val="24"/>
          <w:lang w:val="en-US"/>
        </w:rPr>
        <w:t>Leasing Company (LC)</w:t>
      </w:r>
      <w:r w:rsidR="00DA7153" w:rsidRPr="00D3541E">
        <w:rPr>
          <w:rFonts w:cs="Times New Roman"/>
          <w:szCs w:val="24"/>
          <w:lang w:val="en-US"/>
        </w:rPr>
        <w:t xml:space="preserve"> – </w:t>
      </w:r>
      <w:r w:rsidRPr="00D3541E">
        <w:rPr>
          <w:rFonts w:cs="Times New Roman"/>
          <w:szCs w:val="24"/>
          <w:lang w:val="en-US"/>
        </w:rPr>
        <w:t>a legal entity providing financial leasing services in accordance with the legislation of the Republic of Kazakhstan</w:t>
      </w:r>
      <w:r w:rsidR="00DA7153" w:rsidRPr="00D3541E">
        <w:rPr>
          <w:rFonts w:cs="Times New Roman"/>
          <w:szCs w:val="24"/>
          <w:lang w:val="en-US"/>
        </w:rPr>
        <w:t>.</w:t>
      </w:r>
    </w:p>
    <w:p w:rsidR="001D718C" w:rsidRPr="00D3541E" w:rsidRDefault="00D3541E" w:rsidP="00506D95">
      <w:pPr>
        <w:tabs>
          <w:tab w:val="left" w:pos="284"/>
          <w:tab w:val="left" w:pos="426"/>
          <w:tab w:val="left" w:pos="993"/>
        </w:tabs>
        <w:jc w:val="both"/>
        <w:rPr>
          <w:rFonts w:cs="Times New Roman"/>
          <w:szCs w:val="24"/>
          <w:lang w:val="en-US"/>
        </w:rPr>
      </w:pPr>
      <w:r w:rsidRPr="00D3541E">
        <w:rPr>
          <w:rFonts w:eastAsia="Times New Roman" w:cs="Times New Roman"/>
          <w:b/>
          <w:szCs w:val="24"/>
          <w:lang w:val="en-US"/>
        </w:rPr>
        <w:t>SMME</w:t>
      </w:r>
      <w:r w:rsidR="001D718C" w:rsidRPr="00D3541E">
        <w:rPr>
          <w:rFonts w:eastAsia="Times New Roman" w:cs="Times New Roman"/>
          <w:b/>
          <w:szCs w:val="24"/>
          <w:lang w:val="en-US"/>
        </w:rPr>
        <w:t xml:space="preserve"> -</w:t>
      </w:r>
      <w:r w:rsidR="001D718C" w:rsidRPr="00D3541E">
        <w:rPr>
          <w:rFonts w:cs="Times New Roman"/>
          <w:szCs w:val="24"/>
          <w:lang w:val="en-US"/>
        </w:rPr>
        <w:t xml:space="preserve"> </w:t>
      </w:r>
      <w:r w:rsidRPr="00D3541E">
        <w:rPr>
          <w:rFonts w:cs="Times New Roman"/>
          <w:szCs w:val="24"/>
          <w:lang w:val="en-US"/>
        </w:rPr>
        <w:t>subjects of micro, small and medium private entrepreneurship in accordance with the laws of the Republic of Kazakhstan</w:t>
      </w:r>
      <w:r w:rsidR="001D718C" w:rsidRPr="00D3541E">
        <w:rPr>
          <w:rFonts w:cs="Times New Roman"/>
          <w:szCs w:val="24"/>
          <w:lang w:val="en-US"/>
        </w:rPr>
        <w:t>;</w:t>
      </w:r>
    </w:p>
    <w:p w:rsidR="001D718C" w:rsidRPr="00D3541E" w:rsidRDefault="00D3541E" w:rsidP="00506D95">
      <w:pPr>
        <w:tabs>
          <w:tab w:val="left" w:pos="284"/>
          <w:tab w:val="left" w:pos="993"/>
        </w:tabs>
        <w:jc w:val="both"/>
        <w:rPr>
          <w:szCs w:val="24"/>
          <w:lang w:val="en-US"/>
        </w:rPr>
      </w:pPr>
      <w:r>
        <w:rPr>
          <w:rFonts w:eastAsia="Times New Roman" w:cs="Times New Roman"/>
          <w:b/>
          <w:szCs w:val="24"/>
          <w:lang w:val="en-US"/>
        </w:rPr>
        <w:t>Social</w:t>
      </w:r>
      <w:r w:rsidRPr="00D3541E">
        <w:rPr>
          <w:rFonts w:eastAsia="Times New Roman" w:cs="Times New Roman"/>
          <w:b/>
          <w:szCs w:val="24"/>
          <w:lang w:val="en-US"/>
        </w:rPr>
        <w:t xml:space="preserve"> </w:t>
      </w:r>
      <w:r>
        <w:rPr>
          <w:rFonts w:eastAsia="Times New Roman" w:cs="Times New Roman"/>
          <w:b/>
          <w:szCs w:val="24"/>
          <w:lang w:val="en-US"/>
        </w:rPr>
        <w:t>bonds</w:t>
      </w:r>
      <w:r w:rsidR="001D718C" w:rsidRPr="00D3541E">
        <w:rPr>
          <w:rFonts w:eastAsia="Times New Roman" w:cs="Times New Roman"/>
          <w:b/>
          <w:szCs w:val="24"/>
          <w:lang w:val="en-US"/>
        </w:rPr>
        <w:t xml:space="preserve"> - </w:t>
      </w:r>
      <w:r w:rsidRPr="00D3541E">
        <w:rPr>
          <w:rFonts w:cs="Times New Roman"/>
          <w:szCs w:val="24"/>
          <w:lang w:val="en-US"/>
        </w:rPr>
        <w:t>any type of debt instrument, the proceeds of which are used to finance, among other things, new and/or existing projects that meet the eligibility criteria described in this Policy and the Social Bond Principles</w:t>
      </w:r>
      <w:r w:rsidR="001D718C" w:rsidRPr="00D3541E">
        <w:rPr>
          <w:rFonts w:cs="Times New Roman"/>
          <w:szCs w:val="24"/>
          <w:lang w:val="en-US"/>
        </w:rPr>
        <w:t>.</w:t>
      </w:r>
    </w:p>
    <w:p w:rsidR="001D718C" w:rsidRDefault="00D3541E" w:rsidP="00D3541E">
      <w:pPr>
        <w:tabs>
          <w:tab w:val="left" w:pos="426"/>
          <w:tab w:val="left" w:pos="993"/>
        </w:tabs>
        <w:jc w:val="both"/>
        <w:rPr>
          <w:rFonts w:cs="Times New Roman"/>
          <w:szCs w:val="24"/>
          <w:lang w:val="en-US"/>
        </w:rPr>
      </w:pPr>
      <w:r w:rsidRPr="00D3541E">
        <w:rPr>
          <w:rFonts w:cs="Times New Roman"/>
          <w:b/>
          <w:szCs w:val="24"/>
          <w:lang w:val="en-US"/>
        </w:rPr>
        <w:lastRenderedPageBreak/>
        <w:t>Microfinance organization (MF</w:t>
      </w:r>
      <w:r w:rsidR="00653152">
        <w:rPr>
          <w:rFonts w:cs="Times New Roman"/>
          <w:b/>
          <w:szCs w:val="24"/>
        </w:rPr>
        <w:t>О</w:t>
      </w:r>
      <w:r w:rsidRPr="00D3541E">
        <w:rPr>
          <w:rFonts w:cs="Times New Roman"/>
          <w:b/>
          <w:szCs w:val="24"/>
          <w:lang w:val="en-US"/>
        </w:rPr>
        <w:t>)</w:t>
      </w:r>
      <w:r w:rsidR="001D718C" w:rsidRPr="00D3541E">
        <w:rPr>
          <w:rFonts w:cs="Times New Roman"/>
          <w:szCs w:val="24"/>
          <w:lang w:val="en-US"/>
        </w:rPr>
        <w:t xml:space="preserve"> – </w:t>
      </w:r>
      <w:r>
        <w:rPr>
          <w:rFonts w:cs="Times New Roman"/>
          <w:szCs w:val="24"/>
          <w:lang w:val="en-US"/>
        </w:rPr>
        <w:t>l</w:t>
      </w:r>
      <w:r w:rsidRPr="00D3541E">
        <w:rPr>
          <w:rFonts w:cs="Times New Roman"/>
          <w:szCs w:val="24"/>
          <w:lang w:val="en-US"/>
        </w:rPr>
        <w:t>egal entity which is a commercial organization, the official status of which is determined by the state registration in the State Corporation "Government for Citizens" and passing through record registration, carrying out activities on granting microloans on the basis of the license of the authorized body, as well as additional activities permitted by the Law of the Republic of Kazakhstan dated November 26, 2012 № 56-V "On microfinance activities</w:t>
      </w:r>
    </w:p>
    <w:p w:rsidR="00D3541E" w:rsidRPr="00D3541E" w:rsidRDefault="00D3541E" w:rsidP="00D3541E">
      <w:pPr>
        <w:tabs>
          <w:tab w:val="left" w:pos="426"/>
          <w:tab w:val="left" w:pos="993"/>
        </w:tabs>
        <w:jc w:val="both"/>
        <w:rPr>
          <w:rFonts w:cs="Times New Roman"/>
          <w:szCs w:val="24"/>
          <w:lang w:val="en-US"/>
        </w:rPr>
      </w:pPr>
    </w:p>
    <w:p w:rsidR="006600F2" w:rsidRPr="00D3541E" w:rsidRDefault="00D3541E" w:rsidP="00824464">
      <w:pPr>
        <w:pStyle w:val="1"/>
        <w:numPr>
          <w:ilvl w:val="0"/>
          <w:numId w:val="15"/>
        </w:numPr>
        <w:spacing w:before="0"/>
        <w:rPr>
          <w:rFonts w:ascii="Times New Roman" w:hAnsi="Times New Roman" w:cs="Times New Roman"/>
          <w:b/>
          <w:bCs/>
          <w:color w:val="auto"/>
          <w:lang w:val="en-US"/>
        </w:rPr>
      </w:pPr>
      <w:bookmarkStart w:id="3" w:name="_Toc82790096"/>
      <w:r w:rsidRPr="00D3541E">
        <w:rPr>
          <w:rFonts w:ascii="Times New Roman" w:hAnsi="Times New Roman" w:cs="Times New Roman"/>
          <w:b/>
          <w:bCs/>
          <w:color w:val="auto"/>
          <w:lang w:val="en-US"/>
        </w:rPr>
        <w:t>Prerequisites for issuing social bonds</w:t>
      </w:r>
      <w:bookmarkEnd w:id="3"/>
    </w:p>
    <w:p w:rsidR="002C5D60" w:rsidRPr="00D3541E" w:rsidRDefault="00653152" w:rsidP="002C5D60">
      <w:pPr>
        <w:jc w:val="both"/>
        <w:rPr>
          <w:rFonts w:eastAsia="Times New Roman" w:cs="Times New Roman"/>
          <w:color w:val="222222"/>
          <w:szCs w:val="24"/>
          <w:lang w:val="en-US" w:eastAsia="ru-RU"/>
        </w:rPr>
      </w:pPr>
      <w:r w:rsidRPr="00D3541E">
        <w:rPr>
          <w:rFonts w:cs="Times New Roman"/>
          <w:szCs w:val="24"/>
          <w:lang w:val="en-US"/>
        </w:rPr>
        <w:t>"</w:t>
      </w:r>
      <w:r w:rsidR="00D3541E" w:rsidRPr="00D3541E">
        <w:rPr>
          <w:rFonts w:eastAsia="Times New Roman" w:cs="Times New Roman"/>
          <w:color w:val="222222"/>
          <w:szCs w:val="24"/>
          <w:lang w:val="en-US" w:eastAsia="ru-RU"/>
        </w:rPr>
        <w:t>Damu</w:t>
      </w:r>
      <w:r w:rsidRPr="00D3541E">
        <w:rPr>
          <w:rFonts w:cs="Times New Roman"/>
          <w:szCs w:val="24"/>
          <w:lang w:val="en-US"/>
        </w:rPr>
        <w:t>"</w:t>
      </w:r>
      <w:r w:rsidR="00D3541E" w:rsidRPr="00D3541E">
        <w:rPr>
          <w:rFonts w:eastAsia="Times New Roman" w:cs="Times New Roman"/>
          <w:color w:val="222222"/>
          <w:szCs w:val="24"/>
          <w:lang w:val="en-US" w:eastAsia="ru-RU"/>
        </w:rPr>
        <w:t xml:space="preserve"> Fund as an institution for the development of entrepreneurship in the state policy of industrial-innovative and socio-economic development attaches paramount importance to social factors in the sustainable development of society and considers social responsibility as one of the key principles of its activities</w:t>
      </w:r>
      <w:r w:rsidR="002C5D60" w:rsidRPr="00D3541E">
        <w:rPr>
          <w:rFonts w:eastAsia="Times New Roman" w:cs="Times New Roman"/>
          <w:color w:val="222222"/>
          <w:szCs w:val="24"/>
          <w:lang w:val="en-US" w:eastAsia="ru-RU"/>
        </w:rPr>
        <w:t>.</w:t>
      </w:r>
    </w:p>
    <w:p w:rsidR="00D3541E" w:rsidRPr="00D3541E" w:rsidRDefault="00D3541E" w:rsidP="00D3541E">
      <w:pPr>
        <w:jc w:val="both"/>
        <w:rPr>
          <w:rFonts w:eastAsia="Times New Roman" w:cs="Times New Roman"/>
          <w:color w:val="222222"/>
          <w:szCs w:val="24"/>
          <w:lang w:val="en-US" w:eastAsia="ru-RU"/>
        </w:rPr>
      </w:pPr>
      <w:r w:rsidRPr="00D3541E">
        <w:rPr>
          <w:rFonts w:eastAsia="Times New Roman" w:cs="Times New Roman"/>
          <w:color w:val="222222"/>
          <w:szCs w:val="24"/>
          <w:lang w:val="en-US" w:eastAsia="ru-RU"/>
        </w:rPr>
        <w:t xml:space="preserve">Conscious of its responsibility to contribute to the sustainable development of society, </w:t>
      </w:r>
      <w:r w:rsidR="00653152" w:rsidRPr="00D3541E">
        <w:rPr>
          <w:rFonts w:cs="Times New Roman"/>
          <w:szCs w:val="24"/>
          <w:lang w:val="en-US"/>
        </w:rPr>
        <w:t>"</w:t>
      </w:r>
      <w:r w:rsidRPr="00D3541E">
        <w:rPr>
          <w:rFonts w:eastAsia="Times New Roman" w:cs="Times New Roman"/>
          <w:color w:val="222222"/>
          <w:szCs w:val="24"/>
          <w:lang w:val="en-US" w:eastAsia="ru-RU"/>
        </w:rPr>
        <w:t>Damu</w:t>
      </w:r>
      <w:r w:rsidR="00653152" w:rsidRPr="00D3541E">
        <w:rPr>
          <w:rFonts w:cs="Times New Roman"/>
          <w:szCs w:val="24"/>
          <w:lang w:val="en-US"/>
        </w:rPr>
        <w:t>"</w:t>
      </w:r>
      <w:r w:rsidRPr="00D3541E">
        <w:rPr>
          <w:rFonts w:eastAsia="Times New Roman" w:cs="Times New Roman"/>
          <w:color w:val="222222"/>
          <w:szCs w:val="24"/>
          <w:lang w:val="en-US" w:eastAsia="ru-RU"/>
        </w:rPr>
        <w:t xml:space="preserve"> F</w:t>
      </w:r>
      <w:r w:rsidR="00653152">
        <w:rPr>
          <w:rFonts w:eastAsia="Times New Roman" w:cs="Times New Roman"/>
          <w:color w:val="222222"/>
          <w:szCs w:val="24"/>
          <w:lang w:val="en-US" w:eastAsia="ru-RU"/>
        </w:rPr>
        <w:t>und</w:t>
      </w:r>
      <w:r w:rsidRPr="00D3541E">
        <w:rPr>
          <w:rFonts w:eastAsia="Times New Roman" w:cs="Times New Roman"/>
          <w:color w:val="222222"/>
          <w:szCs w:val="24"/>
          <w:lang w:val="en-US" w:eastAsia="ru-RU"/>
        </w:rPr>
        <w:t xml:space="preserve"> considers the interests of a wide range of parties impacted by the </w:t>
      </w:r>
      <w:r w:rsidR="0053658B">
        <w:rPr>
          <w:rFonts w:eastAsia="Times New Roman" w:cs="Times New Roman"/>
          <w:color w:val="222222"/>
          <w:szCs w:val="24"/>
          <w:lang w:val="en-US" w:eastAsia="ru-RU"/>
        </w:rPr>
        <w:t>Fund</w:t>
      </w:r>
      <w:r w:rsidRPr="00D3541E">
        <w:rPr>
          <w:rFonts w:eastAsia="Times New Roman" w:cs="Times New Roman"/>
          <w:color w:val="222222"/>
          <w:szCs w:val="24"/>
          <w:lang w:val="en-US" w:eastAsia="ru-RU"/>
        </w:rPr>
        <w:t xml:space="preserve">'s activities - Shareholder, borrowers, clients, staff, suppliers, business associations, public administration and the general public. The </w:t>
      </w:r>
      <w:r w:rsidR="00653152" w:rsidRPr="00D3541E">
        <w:rPr>
          <w:rFonts w:cs="Times New Roman"/>
          <w:szCs w:val="24"/>
          <w:lang w:val="en-US"/>
        </w:rPr>
        <w:t>"</w:t>
      </w:r>
      <w:r w:rsidRPr="00D3541E">
        <w:rPr>
          <w:rFonts w:eastAsia="Times New Roman" w:cs="Times New Roman"/>
          <w:color w:val="222222"/>
          <w:szCs w:val="24"/>
          <w:lang w:val="en-US" w:eastAsia="ru-RU"/>
        </w:rPr>
        <w:t>Damu</w:t>
      </w:r>
      <w:r w:rsidR="00653152" w:rsidRPr="00D3541E">
        <w:rPr>
          <w:rFonts w:cs="Times New Roman"/>
          <w:szCs w:val="24"/>
          <w:lang w:val="en-US"/>
        </w:rPr>
        <w:t>"</w:t>
      </w:r>
      <w:r w:rsidRPr="00D3541E">
        <w:rPr>
          <w:rFonts w:eastAsia="Times New Roman" w:cs="Times New Roman"/>
          <w:color w:val="222222"/>
          <w:szCs w:val="24"/>
          <w:lang w:val="en-US" w:eastAsia="ru-RU"/>
        </w:rPr>
        <w:t xml:space="preserve"> Fund supports </w:t>
      </w:r>
      <w:r w:rsidR="00653152">
        <w:rPr>
          <w:rFonts w:eastAsia="Times New Roman" w:cs="Times New Roman"/>
          <w:color w:val="222222"/>
          <w:szCs w:val="24"/>
          <w:lang w:val="en-US" w:eastAsia="ru-RU"/>
        </w:rPr>
        <w:t>SMME</w:t>
      </w:r>
      <w:r w:rsidRPr="00D3541E">
        <w:rPr>
          <w:rFonts w:eastAsia="Times New Roman" w:cs="Times New Roman"/>
          <w:color w:val="222222"/>
          <w:szCs w:val="24"/>
          <w:lang w:val="en-US" w:eastAsia="ru-RU"/>
        </w:rPr>
        <w:t>s in the COVID-19 pandemic and its aftermath, in addition to numerous emergency response initiatives, the Fund will implement programs to create and sustain jobs in the face of the pandemic and its aftermath</w:t>
      </w:r>
    </w:p>
    <w:p w:rsidR="00E3674F" w:rsidRPr="00D3541E" w:rsidRDefault="00D3541E" w:rsidP="00E3674F">
      <w:pPr>
        <w:pStyle w:val="ab"/>
        <w:numPr>
          <w:ilvl w:val="0"/>
          <w:numId w:val="18"/>
        </w:numPr>
        <w:spacing w:after="0" w:line="240" w:lineRule="auto"/>
        <w:ind w:left="0" w:firstLine="426"/>
        <w:jc w:val="both"/>
        <w:rPr>
          <w:rFonts w:ascii="Times New Roman" w:eastAsia="Times New Roman" w:hAnsi="Times New Roman" w:cs="Times New Roman"/>
          <w:color w:val="222222"/>
          <w:sz w:val="24"/>
          <w:szCs w:val="24"/>
          <w:lang w:val="en-US" w:eastAsia="ru-RU"/>
        </w:rPr>
      </w:pPr>
      <w:r w:rsidRPr="00D3541E">
        <w:rPr>
          <w:rFonts w:ascii="Times New Roman" w:eastAsia="Times New Roman" w:hAnsi="Times New Roman" w:cs="Times New Roman"/>
          <w:color w:val="222222"/>
          <w:sz w:val="24"/>
          <w:szCs w:val="24"/>
          <w:lang w:val="en-US" w:eastAsia="ru-RU"/>
        </w:rPr>
        <w:t xml:space="preserve">Since 2015 </w:t>
      </w:r>
      <w:r w:rsidR="007F42AC" w:rsidRPr="00D3541E">
        <w:rPr>
          <w:rFonts w:cs="Times New Roman"/>
          <w:szCs w:val="24"/>
          <w:lang w:val="en-US"/>
        </w:rPr>
        <w:t>"</w:t>
      </w:r>
      <w:r w:rsidRPr="00D3541E">
        <w:rPr>
          <w:rFonts w:ascii="Times New Roman" w:eastAsia="Times New Roman" w:hAnsi="Times New Roman" w:cs="Times New Roman"/>
          <w:color w:val="222222"/>
          <w:sz w:val="24"/>
          <w:szCs w:val="24"/>
          <w:lang w:val="en-US" w:eastAsia="ru-RU"/>
        </w:rPr>
        <w:t>Damu</w:t>
      </w:r>
      <w:r w:rsidR="007F42AC" w:rsidRPr="00D3541E">
        <w:rPr>
          <w:rFonts w:cs="Times New Roman"/>
          <w:szCs w:val="24"/>
          <w:lang w:val="en-US"/>
        </w:rPr>
        <w:t>"</w:t>
      </w:r>
      <w:r w:rsidRPr="00D3541E">
        <w:rPr>
          <w:rFonts w:ascii="Times New Roman" w:eastAsia="Times New Roman" w:hAnsi="Times New Roman" w:cs="Times New Roman"/>
          <w:color w:val="222222"/>
          <w:sz w:val="24"/>
          <w:szCs w:val="24"/>
          <w:lang w:val="en-US" w:eastAsia="ru-RU"/>
        </w:rPr>
        <w:t xml:space="preserve"> Fund is a financial agent that implements and monitors financial support (subsidizing interest rates on loans of entrepreneurs, guaranteeing loans of entrepreneurs to banks) under the Unified Business Support and Development Program "Business Road Map 2020". As part of the state program of support and development of business "Business Road Map 2020</w:t>
      </w:r>
      <w:r w:rsidR="00653152">
        <w:rPr>
          <w:rFonts w:ascii="Times New Roman" w:eastAsia="Times New Roman" w:hAnsi="Times New Roman" w:cs="Times New Roman"/>
          <w:color w:val="222222"/>
          <w:sz w:val="24"/>
          <w:szCs w:val="24"/>
          <w:lang w:val="en-US" w:eastAsia="ru-RU"/>
        </w:rPr>
        <w:t xml:space="preserve"> </w:t>
      </w:r>
      <w:r w:rsidRPr="00D3541E">
        <w:rPr>
          <w:rFonts w:ascii="Times New Roman" w:eastAsia="Times New Roman" w:hAnsi="Times New Roman" w:cs="Times New Roman"/>
          <w:color w:val="222222"/>
          <w:sz w:val="24"/>
          <w:szCs w:val="24"/>
          <w:lang w:val="en-US" w:eastAsia="ru-RU"/>
        </w:rPr>
        <w:t>"Damu</w:t>
      </w:r>
      <w:r w:rsidR="00653152" w:rsidRPr="00D3541E">
        <w:rPr>
          <w:rFonts w:cs="Times New Roman"/>
          <w:szCs w:val="24"/>
          <w:lang w:val="en-US"/>
        </w:rPr>
        <w:t>"</w:t>
      </w:r>
      <w:r w:rsidRPr="00D3541E">
        <w:rPr>
          <w:rFonts w:ascii="Times New Roman" w:eastAsia="Times New Roman" w:hAnsi="Times New Roman" w:cs="Times New Roman"/>
          <w:color w:val="222222"/>
          <w:sz w:val="24"/>
          <w:szCs w:val="24"/>
          <w:lang w:val="en-US" w:eastAsia="ru-RU"/>
        </w:rPr>
        <w:t xml:space="preserve"> Fund implements a program of subsidizing part of the interest rate on loans/leasing transactions of </w:t>
      </w:r>
      <w:r w:rsidR="00FC1012">
        <w:rPr>
          <w:rFonts w:ascii="Times New Roman" w:eastAsia="Times New Roman" w:hAnsi="Times New Roman" w:cs="Times New Roman"/>
          <w:color w:val="222222"/>
          <w:sz w:val="24"/>
          <w:szCs w:val="24"/>
          <w:lang w:val="en-US" w:eastAsia="ru-RU"/>
        </w:rPr>
        <w:t>SMME</w:t>
      </w:r>
      <w:r w:rsidRPr="00D3541E">
        <w:rPr>
          <w:rFonts w:ascii="Times New Roman" w:eastAsia="Times New Roman" w:hAnsi="Times New Roman" w:cs="Times New Roman"/>
          <w:color w:val="222222"/>
          <w:sz w:val="24"/>
          <w:szCs w:val="24"/>
          <w:lang w:val="en-US" w:eastAsia="ru-RU"/>
        </w:rPr>
        <w:t>s in the most affected sectors of the economy during the pandemic COVID-19 and works with 174 sectors of the economy</w:t>
      </w:r>
      <w:r w:rsidR="00E3674F" w:rsidRPr="00D3541E">
        <w:rPr>
          <w:rFonts w:ascii="Times New Roman" w:eastAsia="Times New Roman" w:hAnsi="Times New Roman" w:cs="Times New Roman"/>
          <w:color w:val="222222"/>
          <w:sz w:val="24"/>
          <w:szCs w:val="24"/>
          <w:lang w:val="en-US" w:eastAsia="ru-RU"/>
        </w:rPr>
        <w:t>.</w:t>
      </w:r>
    </w:p>
    <w:p w:rsidR="00BC5E87" w:rsidRPr="007F42AC" w:rsidRDefault="007F42AC" w:rsidP="00E3674F">
      <w:pPr>
        <w:pStyle w:val="ab"/>
        <w:numPr>
          <w:ilvl w:val="0"/>
          <w:numId w:val="18"/>
        </w:numPr>
        <w:spacing w:after="0" w:line="240" w:lineRule="auto"/>
        <w:ind w:left="0" w:firstLine="426"/>
        <w:jc w:val="both"/>
        <w:rPr>
          <w:rFonts w:ascii="Times New Roman" w:eastAsia="Times New Roman" w:hAnsi="Times New Roman" w:cs="Times New Roman"/>
          <w:color w:val="222222"/>
          <w:sz w:val="24"/>
          <w:szCs w:val="24"/>
          <w:lang w:val="en-US" w:eastAsia="ru-RU"/>
        </w:rPr>
      </w:pPr>
      <w:r w:rsidRPr="007F42AC">
        <w:rPr>
          <w:rFonts w:ascii="Times New Roman" w:eastAsia="Times New Roman" w:hAnsi="Times New Roman" w:cs="Times New Roman"/>
          <w:color w:val="222222"/>
          <w:sz w:val="24"/>
          <w:szCs w:val="24"/>
          <w:lang w:val="kk-KZ" w:eastAsia="ru-RU"/>
        </w:rPr>
        <w:t xml:space="preserve">Since 2017 </w:t>
      </w:r>
      <w:r w:rsidRPr="00D3541E">
        <w:rPr>
          <w:rFonts w:cs="Times New Roman"/>
          <w:szCs w:val="24"/>
          <w:lang w:val="en-US"/>
        </w:rPr>
        <w:t>"</w:t>
      </w:r>
      <w:r w:rsidRPr="007F42AC">
        <w:rPr>
          <w:rFonts w:ascii="Times New Roman" w:eastAsia="Times New Roman" w:hAnsi="Times New Roman" w:cs="Times New Roman"/>
          <w:color w:val="222222"/>
          <w:sz w:val="24"/>
          <w:szCs w:val="24"/>
          <w:lang w:val="kk-KZ" w:eastAsia="ru-RU"/>
        </w:rPr>
        <w:t>Damu</w:t>
      </w:r>
      <w:r w:rsidRPr="00D3541E">
        <w:rPr>
          <w:rFonts w:cs="Times New Roman"/>
          <w:szCs w:val="24"/>
          <w:lang w:val="en-US"/>
        </w:rPr>
        <w:t>"</w:t>
      </w:r>
      <w:r w:rsidRPr="007F42AC">
        <w:rPr>
          <w:rFonts w:ascii="Times New Roman" w:eastAsia="Times New Roman" w:hAnsi="Times New Roman" w:cs="Times New Roman"/>
          <w:color w:val="222222"/>
          <w:sz w:val="24"/>
          <w:szCs w:val="24"/>
          <w:lang w:val="kk-KZ" w:eastAsia="ru-RU"/>
        </w:rPr>
        <w:t xml:space="preserve"> Fund is a participant in the implementation of the State program for the development of productive employment and mass entrepreneurship in 2017-2021 "</w:t>
      </w:r>
      <w:r>
        <w:rPr>
          <w:rFonts w:ascii="Times New Roman" w:eastAsia="Times New Roman" w:hAnsi="Times New Roman" w:cs="Times New Roman"/>
          <w:color w:val="222222"/>
          <w:sz w:val="24"/>
          <w:szCs w:val="24"/>
          <w:lang w:val="en-US" w:eastAsia="ru-RU"/>
        </w:rPr>
        <w:t>E</w:t>
      </w:r>
      <w:r w:rsidRPr="007F42AC">
        <w:rPr>
          <w:rFonts w:ascii="Times New Roman" w:eastAsia="Times New Roman" w:hAnsi="Times New Roman" w:cs="Times New Roman"/>
          <w:color w:val="222222"/>
          <w:sz w:val="24"/>
          <w:szCs w:val="24"/>
          <w:lang w:val="kk-KZ" w:eastAsia="ru-RU"/>
        </w:rPr>
        <w:t>nbek", which provides support for the unemployed and self-employed with entrepreneurial potential</w:t>
      </w:r>
      <w:r w:rsidR="00272D0E" w:rsidRPr="007F42AC">
        <w:rPr>
          <w:rFonts w:ascii="Times New Roman" w:eastAsia="Times New Roman" w:hAnsi="Times New Roman" w:cs="Times New Roman"/>
          <w:bCs/>
          <w:color w:val="000000"/>
          <w:sz w:val="24"/>
          <w:szCs w:val="24"/>
          <w:lang w:val="en-US" w:eastAsia="ru-RU"/>
        </w:rPr>
        <w:t>.</w:t>
      </w:r>
    </w:p>
    <w:p w:rsidR="002C5D60" w:rsidRPr="007F42AC" w:rsidRDefault="007F42AC" w:rsidP="00E3674F">
      <w:pPr>
        <w:pStyle w:val="ab"/>
        <w:numPr>
          <w:ilvl w:val="0"/>
          <w:numId w:val="18"/>
        </w:numPr>
        <w:spacing w:after="0" w:line="240" w:lineRule="auto"/>
        <w:ind w:left="0" w:firstLine="426"/>
        <w:jc w:val="both"/>
        <w:rPr>
          <w:rFonts w:ascii="Times New Roman" w:eastAsia="Times New Roman" w:hAnsi="Times New Roman" w:cs="Times New Roman"/>
          <w:color w:val="222222"/>
          <w:sz w:val="24"/>
          <w:szCs w:val="24"/>
          <w:lang w:val="en-US" w:eastAsia="ru-RU"/>
        </w:rPr>
      </w:pPr>
      <w:r w:rsidRPr="007F42AC">
        <w:rPr>
          <w:rFonts w:ascii="Times New Roman" w:eastAsia="Times New Roman" w:hAnsi="Times New Roman" w:cs="Times New Roman"/>
          <w:color w:val="222222"/>
          <w:sz w:val="24"/>
          <w:szCs w:val="24"/>
          <w:lang w:val="en-US" w:eastAsia="ru-RU"/>
        </w:rPr>
        <w:t xml:space="preserve">In 2011 within the framework of cooperation with the Asian Development Bank and the European Bank for Reconstruction and Development, </w:t>
      </w:r>
      <w:r w:rsidRPr="00D3541E">
        <w:rPr>
          <w:rFonts w:cs="Times New Roman"/>
          <w:szCs w:val="24"/>
          <w:lang w:val="en-US"/>
        </w:rPr>
        <w:t>"</w:t>
      </w:r>
      <w:r w:rsidRPr="007F42AC">
        <w:rPr>
          <w:rFonts w:ascii="Times New Roman" w:eastAsia="Times New Roman" w:hAnsi="Times New Roman" w:cs="Times New Roman"/>
          <w:color w:val="222222"/>
          <w:sz w:val="24"/>
          <w:szCs w:val="24"/>
          <w:lang w:val="en-US" w:eastAsia="ru-RU"/>
        </w:rPr>
        <w:t>Damu</w:t>
      </w:r>
      <w:r w:rsidRPr="00D3541E">
        <w:rPr>
          <w:rFonts w:cs="Times New Roman"/>
          <w:szCs w:val="24"/>
          <w:lang w:val="en-US"/>
        </w:rPr>
        <w:t>"</w:t>
      </w:r>
      <w:r w:rsidRPr="007F42AC">
        <w:rPr>
          <w:rFonts w:ascii="Times New Roman" w:eastAsia="Times New Roman" w:hAnsi="Times New Roman" w:cs="Times New Roman"/>
          <w:color w:val="222222"/>
          <w:sz w:val="24"/>
          <w:szCs w:val="24"/>
          <w:lang w:val="en-US" w:eastAsia="ru-RU"/>
        </w:rPr>
        <w:t xml:space="preserve"> Fund attracted funds to finance women's business, micro, small and medium enterprises of Kazakhstan</w:t>
      </w:r>
      <w:r w:rsidR="002C5D60" w:rsidRPr="007F42AC">
        <w:rPr>
          <w:rFonts w:ascii="Times New Roman" w:eastAsia="Times New Roman" w:hAnsi="Times New Roman" w:cs="Times New Roman"/>
          <w:color w:val="222222"/>
          <w:sz w:val="24"/>
          <w:szCs w:val="24"/>
          <w:lang w:val="en-US" w:eastAsia="ru-RU"/>
        </w:rPr>
        <w:t>.</w:t>
      </w:r>
    </w:p>
    <w:p w:rsidR="00072A0F" w:rsidRPr="0078410F" w:rsidRDefault="0078410F" w:rsidP="00E3674F">
      <w:pPr>
        <w:jc w:val="both"/>
        <w:rPr>
          <w:rFonts w:eastAsia="Times New Roman" w:cs="Times New Roman"/>
          <w:color w:val="222222"/>
          <w:szCs w:val="24"/>
          <w:lang w:val="en-US" w:eastAsia="ru-RU"/>
        </w:rPr>
      </w:pPr>
      <w:r w:rsidRPr="0078410F">
        <w:rPr>
          <w:rFonts w:eastAsia="Times New Roman" w:cs="Times New Roman"/>
          <w:color w:val="222222"/>
          <w:szCs w:val="24"/>
          <w:lang w:val="en-US" w:eastAsia="ru-RU"/>
        </w:rPr>
        <w:t xml:space="preserve">Branches of </w:t>
      </w:r>
      <w:r w:rsidRPr="00D3541E">
        <w:rPr>
          <w:rFonts w:cs="Times New Roman"/>
          <w:szCs w:val="24"/>
          <w:lang w:val="en-US"/>
        </w:rPr>
        <w:t>"</w:t>
      </w:r>
      <w:r w:rsidRPr="0078410F">
        <w:rPr>
          <w:rFonts w:eastAsia="Times New Roman" w:cs="Times New Roman"/>
          <w:color w:val="222222"/>
          <w:szCs w:val="24"/>
          <w:lang w:val="en-US" w:eastAsia="ru-RU"/>
        </w:rPr>
        <w:t>Damu</w:t>
      </w:r>
      <w:r w:rsidRPr="00D3541E">
        <w:rPr>
          <w:rFonts w:cs="Times New Roman"/>
          <w:szCs w:val="24"/>
          <w:lang w:val="en-US"/>
        </w:rPr>
        <w:t>"</w:t>
      </w:r>
      <w:r w:rsidRPr="0078410F">
        <w:rPr>
          <w:rFonts w:eastAsia="Times New Roman" w:cs="Times New Roman"/>
          <w:color w:val="222222"/>
          <w:szCs w:val="24"/>
          <w:lang w:val="en-US" w:eastAsia="ru-RU"/>
        </w:rPr>
        <w:t xml:space="preserve"> Fund operate in all regions of Kazakhstan </w:t>
      </w:r>
      <w:r>
        <w:rPr>
          <w:rFonts w:eastAsia="Times New Roman" w:cs="Times New Roman"/>
          <w:color w:val="222222"/>
          <w:szCs w:val="24"/>
          <w:lang w:val="en-US" w:eastAsia="ru-RU"/>
        </w:rPr>
        <w:t>and</w:t>
      </w:r>
      <w:r w:rsidRPr="0078410F">
        <w:rPr>
          <w:rFonts w:eastAsia="Times New Roman" w:cs="Times New Roman"/>
          <w:color w:val="222222"/>
          <w:szCs w:val="24"/>
          <w:lang w:val="en-US" w:eastAsia="ru-RU"/>
        </w:rPr>
        <w:t xml:space="preserve"> have considerable experience of working with local entrepreneurs, public organizations and local executive authorities</w:t>
      </w:r>
      <w:r w:rsidR="00E55C89" w:rsidRPr="0078410F">
        <w:rPr>
          <w:rFonts w:eastAsia="Times New Roman" w:cs="Times New Roman"/>
          <w:color w:val="222222"/>
          <w:szCs w:val="24"/>
          <w:lang w:val="en-US" w:eastAsia="ru-RU"/>
        </w:rPr>
        <w:t xml:space="preserve">. </w:t>
      </w:r>
    </w:p>
    <w:p w:rsidR="009D76A0" w:rsidRPr="0078410F" w:rsidRDefault="0078410F" w:rsidP="00E3674F">
      <w:pPr>
        <w:jc w:val="both"/>
        <w:rPr>
          <w:rFonts w:eastAsia="Times New Roman" w:cs="Times New Roman"/>
          <w:color w:val="222222"/>
          <w:szCs w:val="24"/>
          <w:lang w:val="en-US" w:eastAsia="ru-RU"/>
        </w:rPr>
      </w:pPr>
      <w:r w:rsidRPr="00D3541E">
        <w:rPr>
          <w:rFonts w:cs="Times New Roman"/>
          <w:szCs w:val="24"/>
          <w:lang w:val="en-US"/>
        </w:rPr>
        <w:t>"</w:t>
      </w:r>
      <w:r w:rsidRPr="0078410F">
        <w:rPr>
          <w:rFonts w:eastAsia="Times New Roman" w:cs="Times New Roman"/>
          <w:color w:val="222222"/>
          <w:szCs w:val="24"/>
          <w:lang w:val="en-US" w:eastAsia="ru-RU"/>
        </w:rPr>
        <w:t>Damu</w:t>
      </w:r>
      <w:r w:rsidRPr="00D3541E">
        <w:rPr>
          <w:rFonts w:cs="Times New Roman"/>
          <w:szCs w:val="24"/>
          <w:lang w:val="en-US"/>
        </w:rPr>
        <w:t>"</w:t>
      </w:r>
      <w:r w:rsidRPr="0078410F">
        <w:rPr>
          <w:rFonts w:eastAsia="Times New Roman" w:cs="Times New Roman"/>
          <w:color w:val="222222"/>
          <w:szCs w:val="24"/>
          <w:lang w:val="en-US" w:eastAsia="ru-RU"/>
        </w:rPr>
        <w:t xml:space="preserve"> Fund will allocate the raised funds to finance </w:t>
      </w:r>
      <w:r w:rsidR="00653152">
        <w:rPr>
          <w:rFonts w:eastAsia="Times New Roman" w:cs="Times New Roman"/>
          <w:color w:val="222222"/>
          <w:szCs w:val="24"/>
          <w:lang w:val="en-US" w:eastAsia="ru-RU"/>
        </w:rPr>
        <w:t>SMME</w:t>
      </w:r>
      <w:r w:rsidRPr="0078410F">
        <w:rPr>
          <w:rFonts w:eastAsia="Times New Roman" w:cs="Times New Roman"/>
          <w:color w:val="222222"/>
          <w:szCs w:val="24"/>
          <w:lang w:val="en-US" w:eastAsia="ru-RU"/>
        </w:rPr>
        <w:t xml:space="preserve">s through </w:t>
      </w:r>
      <w:r w:rsidR="00FC1012" w:rsidRPr="00F345EC">
        <w:rPr>
          <w:rFonts w:eastAsia="Times New Roman" w:cs="Times New Roman"/>
          <w:color w:val="000000"/>
          <w:szCs w:val="24"/>
          <w:lang w:val="en-US" w:eastAsia="ru-RU"/>
        </w:rPr>
        <w:t>STB/MFO/LC</w:t>
      </w:r>
      <w:r w:rsidRPr="0078410F">
        <w:rPr>
          <w:rFonts w:eastAsia="Times New Roman" w:cs="Times New Roman"/>
          <w:color w:val="222222"/>
          <w:szCs w:val="24"/>
          <w:lang w:val="en-US" w:eastAsia="ru-RU"/>
        </w:rPr>
        <w:t xml:space="preserve"> under the COVID-19 pandemic and its consequences with the possibility to save and/or create jobs, carrying out activities according to the list of activities under Annex 1 to Decree No. 224 of the Government of the Republic of Kazakhstan "On Further Measures for Implementation of Decree No. 287 of the President of the Republic of Kazakhstan "On Further Measures for Economic Stabilization" dated March 16, 2020 on taxation" (Annex 1 to this Policy)</w:t>
      </w:r>
      <w:r w:rsidR="004D78E9" w:rsidRPr="0078410F">
        <w:rPr>
          <w:rFonts w:eastAsia="Times New Roman" w:cs="Times New Roman"/>
          <w:color w:val="222222"/>
          <w:szCs w:val="24"/>
          <w:lang w:val="en-US" w:eastAsia="ru-RU"/>
        </w:rPr>
        <w:t>.</w:t>
      </w:r>
    </w:p>
    <w:p w:rsidR="001129AF" w:rsidRPr="0078410F" w:rsidRDefault="0078410F" w:rsidP="00160BED">
      <w:pPr>
        <w:jc w:val="both"/>
        <w:rPr>
          <w:rFonts w:cs="Times New Roman"/>
          <w:color w:val="212529"/>
          <w:szCs w:val="24"/>
          <w:lang w:val="en-US"/>
        </w:rPr>
      </w:pPr>
      <w:r w:rsidRPr="0078410F">
        <w:rPr>
          <w:rFonts w:eastAsia="Times New Roman" w:cs="Times New Roman"/>
          <w:color w:val="222222"/>
          <w:szCs w:val="24"/>
          <w:lang w:val="en-US" w:eastAsia="ru-RU"/>
        </w:rPr>
        <w:t xml:space="preserve">Within the framework of social support, the target audience of the </w:t>
      </w:r>
      <w:r w:rsidRPr="00D3541E">
        <w:rPr>
          <w:rFonts w:cs="Times New Roman"/>
          <w:szCs w:val="24"/>
          <w:lang w:val="en-US"/>
        </w:rPr>
        <w:t>"</w:t>
      </w:r>
      <w:r w:rsidRPr="0078410F">
        <w:rPr>
          <w:rFonts w:eastAsia="Times New Roman" w:cs="Times New Roman"/>
          <w:color w:val="222222"/>
          <w:szCs w:val="24"/>
          <w:lang w:val="en-US" w:eastAsia="ru-RU"/>
        </w:rPr>
        <w:t>Damu</w:t>
      </w:r>
      <w:r w:rsidRPr="00D3541E">
        <w:rPr>
          <w:rFonts w:cs="Times New Roman"/>
          <w:szCs w:val="24"/>
          <w:lang w:val="en-US"/>
        </w:rPr>
        <w:t>"</w:t>
      </w:r>
      <w:r w:rsidRPr="0078410F">
        <w:rPr>
          <w:rFonts w:eastAsia="Times New Roman" w:cs="Times New Roman"/>
          <w:color w:val="222222"/>
          <w:szCs w:val="24"/>
          <w:lang w:val="en-US" w:eastAsia="ru-RU"/>
        </w:rPr>
        <w:t xml:space="preserve"> Fund will be </w:t>
      </w:r>
      <w:r w:rsidR="00FC1012">
        <w:rPr>
          <w:rFonts w:eastAsia="Times New Roman" w:cs="Times New Roman"/>
          <w:color w:val="222222"/>
          <w:szCs w:val="24"/>
          <w:lang w:val="en-US" w:eastAsia="ru-RU"/>
        </w:rPr>
        <w:t>SMME</w:t>
      </w:r>
      <w:r w:rsidRPr="0078410F">
        <w:rPr>
          <w:rFonts w:eastAsia="Times New Roman" w:cs="Times New Roman"/>
          <w:color w:val="222222"/>
          <w:szCs w:val="24"/>
          <w:lang w:val="en-US" w:eastAsia="ru-RU"/>
        </w:rPr>
        <w:t>s</w:t>
      </w:r>
      <w:r w:rsidR="001129AF" w:rsidRPr="0078410F">
        <w:rPr>
          <w:rFonts w:cs="Times New Roman"/>
          <w:color w:val="212529"/>
          <w:szCs w:val="24"/>
          <w:lang w:val="en-US"/>
        </w:rPr>
        <w:t>.</w:t>
      </w:r>
    </w:p>
    <w:p w:rsidR="00EC3D54" w:rsidRPr="0078410F" w:rsidRDefault="00EC3D54" w:rsidP="004B5EE2">
      <w:pPr>
        <w:jc w:val="both"/>
        <w:rPr>
          <w:rFonts w:cs="Times New Roman"/>
          <w:szCs w:val="24"/>
          <w:lang w:val="en-US"/>
        </w:rPr>
      </w:pPr>
    </w:p>
    <w:p w:rsidR="00F55E8D" w:rsidRPr="0078410F" w:rsidRDefault="0078410F" w:rsidP="007F1145">
      <w:pPr>
        <w:pStyle w:val="1"/>
        <w:numPr>
          <w:ilvl w:val="0"/>
          <w:numId w:val="15"/>
        </w:numPr>
        <w:spacing w:before="0"/>
        <w:rPr>
          <w:rFonts w:ascii="Times New Roman" w:hAnsi="Times New Roman" w:cs="Times New Roman"/>
          <w:b/>
          <w:bCs/>
          <w:color w:val="auto"/>
          <w:lang w:val="en-US"/>
        </w:rPr>
      </w:pPr>
      <w:bookmarkStart w:id="4" w:name="_Toc82790097"/>
      <w:r w:rsidRPr="0078410F">
        <w:rPr>
          <w:rFonts w:ascii="Times New Roman" w:hAnsi="Times New Roman" w:cs="Times New Roman"/>
          <w:b/>
          <w:bCs/>
          <w:color w:val="auto"/>
          <w:lang w:val="en-US"/>
        </w:rPr>
        <w:t>Use of raised funds, project selection and evaluation process</w:t>
      </w:r>
      <w:bookmarkEnd w:id="4"/>
    </w:p>
    <w:p w:rsidR="00621482" w:rsidRPr="0078410F" w:rsidRDefault="0078410F" w:rsidP="00621482">
      <w:pPr>
        <w:jc w:val="both"/>
        <w:rPr>
          <w:rFonts w:eastAsia="Times New Roman" w:cs="Times New Roman"/>
          <w:color w:val="000000"/>
          <w:szCs w:val="24"/>
          <w:lang w:val="en-US" w:eastAsia="ru-RU"/>
        </w:rPr>
      </w:pPr>
      <w:r w:rsidRPr="0078410F">
        <w:rPr>
          <w:rFonts w:eastAsia="Times New Roman" w:cs="Times New Roman"/>
          <w:color w:val="000000"/>
          <w:szCs w:val="24"/>
          <w:lang w:val="en-US" w:eastAsia="ru-RU"/>
        </w:rPr>
        <w:t xml:space="preserve">All projects to be financed with funds raised through the issue of social bonds must comply with the terms of the loan agreement between the Fund and the </w:t>
      </w:r>
      <w:r w:rsidR="00FC1012" w:rsidRPr="00F345EC">
        <w:rPr>
          <w:rFonts w:eastAsia="Times New Roman" w:cs="Times New Roman"/>
          <w:color w:val="000000"/>
          <w:szCs w:val="24"/>
          <w:lang w:val="en-US" w:eastAsia="ru-RU"/>
        </w:rPr>
        <w:t>STB/MFO/LC</w:t>
      </w:r>
      <w:r w:rsidRPr="0078410F">
        <w:rPr>
          <w:rFonts w:eastAsia="Times New Roman" w:cs="Times New Roman"/>
          <w:color w:val="000000"/>
          <w:szCs w:val="24"/>
          <w:lang w:val="en-US" w:eastAsia="ru-RU"/>
        </w:rPr>
        <w:t xml:space="preserve"> (hereinafter referred to as the loan agreement</w:t>
      </w:r>
      <w:r>
        <w:rPr>
          <w:rFonts w:eastAsia="Times New Roman" w:cs="Times New Roman"/>
          <w:color w:val="000000"/>
          <w:szCs w:val="24"/>
          <w:lang w:val="en-US" w:eastAsia="ru-RU"/>
        </w:rPr>
        <w:t>)</w:t>
      </w:r>
      <w:r w:rsidR="000F76B6" w:rsidRPr="0078410F">
        <w:rPr>
          <w:rFonts w:eastAsia="Times New Roman" w:cs="Times New Roman"/>
          <w:color w:val="000000"/>
          <w:szCs w:val="24"/>
          <w:lang w:val="en-US" w:eastAsia="ru-RU"/>
        </w:rPr>
        <w:t>.</w:t>
      </w:r>
    </w:p>
    <w:p w:rsidR="00621482" w:rsidRPr="00F345EC" w:rsidRDefault="00F345EC" w:rsidP="00621482">
      <w:pPr>
        <w:jc w:val="both"/>
        <w:rPr>
          <w:rFonts w:eastAsia="Times New Roman" w:cs="Times New Roman"/>
          <w:i/>
          <w:iCs/>
          <w:color w:val="000000"/>
          <w:szCs w:val="24"/>
          <w:lang w:val="en-US" w:eastAsia="ru-RU"/>
        </w:rPr>
      </w:pPr>
      <w:r w:rsidRPr="00F345EC">
        <w:rPr>
          <w:rFonts w:eastAsia="Times New Roman" w:cs="Times New Roman"/>
          <w:color w:val="000000"/>
          <w:szCs w:val="24"/>
          <w:lang w:val="en-US" w:eastAsia="ru-RU"/>
        </w:rPr>
        <w:t xml:space="preserve">After raising funds from the issue of social bonds and mixing with the funds of the Fund, the general pool of funds will be placed in STB/MFO/LC on the terms of urgency, payment, repayment and intended use by concluding loan agreements between the Fund and STB/MFO/LC, with further transfer funds to the bank accounts of STB/MFO/LC for the subsequent financing of SMME projects, since in the context of the COVID-19 pandemic this is the most vulnerable group </w:t>
      </w:r>
      <w:r w:rsidRPr="00F345EC">
        <w:rPr>
          <w:rFonts w:eastAsia="Times New Roman" w:cs="Times New Roman"/>
          <w:color w:val="000000"/>
          <w:szCs w:val="24"/>
          <w:lang w:val="en-US" w:eastAsia="ru-RU"/>
        </w:rPr>
        <w:lastRenderedPageBreak/>
        <w:t>of businesses, whose support will improve the well-being of the population through the possibility of preserving and / or creating jobs</w:t>
      </w:r>
      <w:r w:rsidR="00F5399D" w:rsidRPr="00F345EC">
        <w:rPr>
          <w:rFonts w:eastAsia="Times New Roman" w:cs="Times New Roman"/>
          <w:color w:val="222222"/>
          <w:szCs w:val="24"/>
          <w:lang w:val="en-US" w:eastAsia="ru-RU"/>
        </w:rPr>
        <w:t xml:space="preserve">. </w:t>
      </w:r>
    </w:p>
    <w:p w:rsidR="002502B7" w:rsidRPr="00B82A49" w:rsidRDefault="00B82A49" w:rsidP="002502B7">
      <w:pPr>
        <w:pBdr>
          <w:top w:val="none" w:sz="4" w:space="0" w:color="000000"/>
          <w:left w:val="none" w:sz="4" w:space="0" w:color="000000"/>
          <w:bottom w:val="none" w:sz="4" w:space="0" w:color="000000"/>
          <w:right w:val="none" w:sz="4" w:space="0" w:color="000000"/>
          <w:between w:val="none" w:sz="4" w:space="0" w:color="000000"/>
        </w:pBdr>
        <w:tabs>
          <w:tab w:val="left" w:pos="709"/>
          <w:tab w:val="left" w:pos="1134"/>
        </w:tabs>
        <w:spacing w:line="264" w:lineRule="auto"/>
        <w:jc w:val="both"/>
        <w:rPr>
          <w:lang w:val="en-US"/>
        </w:rPr>
      </w:pPr>
      <w:r w:rsidRPr="00B82A49">
        <w:rPr>
          <w:lang w:val="en-US"/>
        </w:rPr>
        <w:t xml:space="preserve">The Fund sends to </w:t>
      </w:r>
      <w:r>
        <w:rPr>
          <w:lang w:val="en-US"/>
        </w:rPr>
        <w:t>STB</w:t>
      </w:r>
      <w:r w:rsidRPr="00B82A49">
        <w:rPr>
          <w:lang w:val="en-US"/>
        </w:rPr>
        <w:t>/MF</w:t>
      </w:r>
      <w:r w:rsidR="00B15E7D">
        <w:rPr>
          <w:lang w:val="en-US"/>
        </w:rPr>
        <w:t>O</w:t>
      </w:r>
      <w:r w:rsidRPr="00B82A49">
        <w:rPr>
          <w:lang w:val="en-US"/>
        </w:rPr>
        <w:t xml:space="preserve">/LC the preliminary terms of placement of funds and the terms of financing of </w:t>
      </w:r>
      <w:r w:rsidR="00FC1012">
        <w:rPr>
          <w:lang w:val="en-US"/>
        </w:rPr>
        <w:t>SMME</w:t>
      </w:r>
      <w:r w:rsidRPr="00B82A49">
        <w:rPr>
          <w:lang w:val="en-US"/>
        </w:rPr>
        <w:t xml:space="preserve">s to receive applications for participation, indicating the need for funds. On the basis of applications from interested </w:t>
      </w:r>
      <w:r w:rsidR="00B15E7D">
        <w:rPr>
          <w:lang w:val="en-US"/>
        </w:rPr>
        <w:t>STB</w:t>
      </w:r>
      <w:r w:rsidR="00B15E7D" w:rsidRPr="00B82A49">
        <w:rPr>
          <w:lang w:val="en-US"/>
        </w:rPr>
        <w:t>/MF</w:t>
      </w:r>
      <w:r w:rsidR="00B15E7D">
        <w:rPr>
          <w:lang w:val="en-US"/>
        </w:rPr>
        <w:t>O</w:t>
      </w:r>
      <w:r w:rsidR="00B15E7D" w:rsidRPr="00B82A49">
        <w:rPr>
          <w:lang w:val="en-US"/>
        </w:rPr>
        <w:t>/LC</w:t>
      </w:r>
      <w:r w:rsidRPr="00B82A49">
        <w:rPr>
          <w:lang w:val="en-US"/>
        </w:rPr>
        <w:t xml:space="preserve"> for fundraising, the applications are selected, the authorized body of the Fund in accordance with the internal documents makes decisions on financing/conclusion of a loan agreement with </w:t>
      </w:r>
      <w:r w:rsidR="00B15E7D">
        <w:rPr>
          <w:lang w:val="en-US"/>
        </w:rPr>
        <w:t>STB</w:t>
      </w:r>
      <w:r w:rsidR="00B15E7D" w:rsidRPr="00B82A49">
        <w:rPr>
          <w:lang w:val="en-US"/>
        </w:rPr>
        <w:t>/MF</w:t>
      </w:r>
      <w:r w:rsidR="00B15E7D">
        <w:rPr>
          <w:lang w:val="en-US"/>
        </w:rPr>
        <w:t>O</w:t>
      </w:r>
      <w:r w:rsidR="00B15E7D" w:rsidRPr="00B82A49">
        <w:rPr>
          <w:lang w:val="en-US"/>
        </w:rPr>
        <w:t>/LC</w:t>
      </w:r>
      <w:r w:rsidRPr="00B82A49">
        <w:rPr>
          <w:lang w:val="en-US"/>
        </w:rPr>
        <w:t xml:space="preserve">, approves the main terms of funds placement, conditions of </w:t>
      </w:r>
      <w:r w:rsidR="0053658B">
        <w:rPr>
          <w:lang w:val="en-US"/>
        </w:rPr>
        <w:t>SMME</w:t>
      </w:r>
      <w:r w:rsidRPr="00B82A49">
        <w:rPr>
          <w:lang w:val="en-US"/>
        </w:rPr>
        <w:t>s financing and the form of the loan agreement</w:t>
      </w:r>
      <w:r w:rsidR="0064262F" w:rsidRPr="00B82A49">
        <w:rPr>
          <w:lang w:val="en-US"/>
        </w:rPr>
        <w:t>.</w:t>
      </w:r>
    </w:p>
    <w:p w:rsidR="003C7157" w:rsidRPr="00B15E7D" w:rsidRDefault="00B15E7D" w:rsidP="002502B7">
      <w:pPr>
        <w:pBdr>
          <w:top w:val="none" w:sz="4" w:space="0" w:color="000000"/>
          <w:left w:val="none" w:sz="4" w:space="0" w:color="000000"/>
          <w:bottom w:val="none" w:sz="4" w:space="0" w:color="000000"/>
          <w:right w:val="none" w:sz="4" w:space="0" w:color="000000"/>
          <w:between w:val="none" w:sz="4" w:space="0" w:color="000000"/>
        </w:pBdr>
        <w:tabs>
          <w:tab w:val="left" w:pos="709"/>
          <w:tab w:val="left" w:pos="1134"/>
        </w:tabs>
        <w:spacing w:line="264" w:lineRule="auto"/>
        <w:jc w:val="both"/>
        <w:rPr>
          <w:rFonts w:eastAsia="Times New Roman" w:cs="Times New Roman"/>
          <w:color w:val="000000"/>
          <w:szCs w:val="24"/>
          <w:lang w:val="en-US" w:eastAsia="ru-RU"/>
        </w:rPr>
      </w:pPr>
      <w:r w:rsidRPr="00B15E7D">
        <w:rPr>
          <w:rFonts w:eastAsia="Times New Roman" w:cs="Times New Roman"/>
          <w:color w:val="000000"/>
          <w:szCs w:val="24"/>
          <w:lang w:val="en-US" w:eastAsia="ru-RU"/>
        </w:rPr>
        <w:t xml:space="preserve">Allocation of funds by the Fund by transferring them to the bank account of the </w:t>
      </w:r>
      <w:r>
        <w:rPr>
          <w:lang w:val="en-US"/>
        </w:rPr>
        <w:t>STB</w:t>
      </w:r>
      <w:r w:rsidRPr="00B82A49">
        <w:rPr>
          <w:lang w:val="en-US"/>
        </w:rPr>
        <w:t>/MF</w:t>
      </w:r>
      <w:r>
        <w:rPr>
          <w:lang w:val="en-US"/>
        </w:rPr>
        <w:t>O</w:t>
      </w:r>
      <w:r w:rsidRPr="00B82A49">
        <w:rPr>
          <w:lang w:val="en-US"/>
        </w:rPr>
        <w:t>/LC</w:t>
      </w:r>
      <w:r w:rsidRPr="00B15E7D">
        <w:rPr>
          <w:rFonts w:eastAsia="Times New Roman" w:cs="Times New Roman"/>
          <w:color w:val="000000"/>
          <w:szCs w:val="24"/>
          <w:lang w:val="en-US" w:eastAsia="ru-RU"/>
        </w:rPr>
        <w:t xml:space="preserve"> occurs after the conclusion of a loan agreement between the Fund and the </w:t>
      </w:r>
      <w:r>
        <w:rPr>
          <w:lang w:val="en-US"/>
        </w:rPr>
        <w:t>STB</w:t>
      </w:r>
      <w:r w:rsidRPr="00B82A49">
        <w:rPr>
          <w:lang w:val="en-US"/>
        </w:rPr>
        <w:t>/MF</w:t>
      </w:r>
      <w:r>
        <w:rPr>
          <w:lang w:val="en-US"/>
        </w:rPr>
        <w:t>O</w:t>
      </w:r>
      <w:r w:rsidRPr="00B82A49">
        <w:rPr>
          <w:lang w:val="en-US"/>
        </w:rPr>
        <w:t>/LC</w:t>
      </w:r>
      <w:r w:rsidR="003C7157" w:rsidRPr="00B15E7D">
        <w:rPr>
          <w:rFonts w:eastAsia="Times New Roman" w:cs="Times New Roman"/>
          <w:color w:val="000000"/>
          <w:szCs w:val="24"/>
          <w:lang w:val="en-US" w:eastAsia="ru-RU"/>
        </w:rPr>
        <w:t>.</w:t>
      </w:r>
    </w:p>
    <w:p w:rsidR="003C7157" w:rsidRPr="00B15E7D" w:rsidRDefault="00B15E7D" w:rsidP="002502B7">
      <w:pPr>
        <w:pBdr>
          <w:top w:val="none" w:sz="4" w:space="0" w:color="000000"/>
          <w:left w:val="none" w:sz="4" w:space="0" w:color="000000"/>
          <w:bottom w:val="none" w:sz="4" w:space="0" w:color="000000"/>
          <w:right w:val="none" w:sz="4" w:space="0" w:color="000000"/>
          <w:between w:val="none" w:sz="4" w:space="0" w:color="000000"/>
        </w:pBdr>
        <w:tabs>
          <w:tab w:val="left" w:pos="709"/>
          <w:tab w:val="left" w:pos="1134"/>
        </w:tabs>
        <w:spacing w:line="264" w:lineRule="auto"/>
        <w:jc w:val="both"/>
        <w:rPr>
          <w:rFonts w:eastAsia="Times New Roman" w:cs="Times New Roman"/>
          <w:color w:val="000000"/>
          <w:szCs w:val="24"/>
          <w:lang w:val="en-US" w:eastAsia="ru-RU"/>
        </w:rPr>
      </w:pPr>
      <w:r w:rsidRPr="00B15E7D">
        <w:rPr>
          <w:rFonts w:eastAsia="Times New Roman" w:cs="Times New Roman"/>
          <w:color w:val="000000"/>
          <w:szCs w:val="24"/>
          <w:lang w:val="en-US" w:eastAsia="ru-RU"/>
        </w:rPr>
        <w:t xml:space="preserve">Selection and financing of </w:t>
      </w:r>
      <w:r w:rsidR="00FC1012">
        <w:rPr>
          <w:rFonts w:eastAsia="Times New Roman" w:cs="Times New Roman"/>
          <w:color w:val="000000"/>
          <w:szCs w:val="24"/>
          <w:lang w:val="en-US" w:eastAsia="ru-RU"/>
        </w:rPr>
        <w:t>SMME</w:t>
      </w:r>
      <w:r w:rsidRPr="00B15E7D">
        <w:rPr>
          <w:rFonts w:eastAsia="Times New Roman" w:cs="Times New Roman"/>
          <w:color w:val="000000"/>
          <w:szCs w:val="24"/>
          <w:lang w:val="en-US" w:eastAsia="ru-RU"/>
        </w:rPr>
        <w:t xml:space="preserve">s is carried out by </w:t>
      </w:r>
      <w:r>
        <w:rPr>
          <w:lang w:val="en-US"/>
        </w:rPr>
        <w:t>STB</w:t>
      </w:r>
      <w:r w:rsidRPr="00B82A49">
        <w:rPr>
          <w:lang w:val="en-US"/>
        </w:rPr>
        <w:t>/MF</w:t>
      </w:r>
      <w:r>
        <w:rPr>
          <w:lang w:val="en-US"/>
        </w:rPr>
        <w:t>O</w:t>
      </w:r>
      <w:r w:rsidRPr="00B82A49">
        <w:rPr>
          <w:lang w:val="en-US"/>
        </w:rPr>
        <w:t>/LC</w:t>
      </w:r>
      <w:r w:rsidRPr="00B15E7D">
        <w:rPr>
          <w:rFonts w:eastAsia="Times New Roman" w:cs="Times New Roman"/>
          <w:color w:val="000000"/>
          <w:szCs w:val="24"/>
          <w:lang w:val="en-US" w:eastAsia="ru-RU"/>
        </w:rPr>
        <w:t xml:space="preserve"> in accordance with their lending policies and the terms of loan agreements between the Fund and </w:t>
      </w:r>
      <w:r>
        <w:rPr>
          <w:lang w:val="en-US"/>
        </w:rPr>
        <w:t>STB</w:t>
      </w:r>
      <w:r w:rsidRPr="00B82A49">
        <w:rPr>
          <w:lang w:val="en-US"/>
        </w:rPr>
        <w:t>/MF</w:t>
      </w:r>
      <w:r>
        <w:rPr>
          <w:lang w:val="en-US"/>
        </w:rPr>
        <w:t>O</w:t>
      </w:r>
      <w:r w:rsidRPr="00B82A49">
        <w:rPr>
          <w:lang w:val="en-US"/>
        </w:rPr>
        <w:t>/LC</w:t>
      </w:r>
      <w:r w:rsidR="003C7157" w:rsidRPr="00B15E7D">
        <w:rPr>
          <w:rFonts w:eastAsia="Times New Roman" w:cs="Times New Roman"/>
          <w:color w:val="000000"/>
          <w:szCs w:val="24"/>
          <w:lang w:val="en-US" w:eastAsia="ru-RU"/>
        </w:rPr>
        <w:t xml:space="preserve">. </w:t>
      </w:r>
    </w:p>
    <w:p w:rsidR="00F40C5B" w:rsidRPr="00B15E7D" w:rsidRDefault="00B15E7D" w:rsidP="002502B7">
      <w:pPr>
        <w:pBdr>
          <w:top w:val="none" w:sz="4" w:space="0" w:color="000000"/>
          <w:left w:val="none" w:sz="4" w:space="0" w:color="000000"/>
          <w:bottom w:val="none" w:sz="4" w:space="0" w:color="000000"/>
          <w:right w:val="none" w:sz="4" w:space="0" w:color="000000"/>
          <w:between w:val="none" w:sz="4" w:space="0" w:color="000000"/>
        </w:pBdr>
        <w:tabs>
          <w:tab w:val="left" w:pos="709"/>
          <w:tab w:val="left" w:pos="1134"/>
        </w:tabs>
        <w:spacing w:line="264" w:lineRule="auto"/>
        <w:jc w:val="both"/>
        <w:rPr>
          <w:lang w:val="en-US"/>
        </w:rPr>
      </w:pPr>
      <w:r w:rsidRPr="00B15E7D">
        <w:rPr>
          <w:rFonts w:eastAsia="Times New Roman" w:cs="Times New Roman"/>
          <w:color w:val="000000"/>
          <w:szCs w:val="24"/>
          <w:lang w:val="en-US" w:eastAsia="ru-RU"/>
        </w:rPr>
        <w:t xml:space="preserve">Under the loan agreement, the </w:t>
      </w:r>
      <w:r>
        <w:rPr>
          <w:lang w:val="en-US"/>
        </w:rPr>
        <w:t>STB</w:t>
      </w:r>
      <w:r w:rsidRPr="00B82A49">
        <w:rPr>
          <w:lang w:val="en-US"/>
        </w:rPr>
        <w:t>/MF</w:t>
      </w:r>
      <w:r>
        <w:rPr>
          <w:lang w:val="en-US"/>
        </w:rPr>
        <w:t>O</w:t>
      </w:r>
      <w:r w:rsidRPr="00B82A49">
        <w:rPr>
          <w:lang w:val="en-US"/>
        </w:rPr>
        <w:t>/LC</w:t>
      </w:r>
      <w:r w:rsidRPr="00B15E7D">
        <w:rPr>
          <w:rFonts w:eastAsia="Times New Roman" w:cs="Times New Roman"/>
          <w:color w:val="000000"/>
          <w:szCs w:val="24"/>
          <w:lang w:val="en-US" w:eastAsia="ru-RU"/>
        </w:rPr>
        <w:t xml:space="preserve"> is responsible for the timely disbursement and proper use of funds, as well as all risks of repayment to the Fund</w:t>
      </w:r>
      <w:r w:rsidR="00F40C5B" w:rsidRPr="00B15E7D">
        <w:rPr>
          <w:lang w:val="en-US"/>
        </w:rPr>
        <w:t>.</w:t>
      </w:r>
    </w:p>
    <w:p w:rsidR="00F40C5B" w:rsidRPr="00B15E7D" w:rsidRDefault="00B15E7D" w:rsidP="002502B7">
      <w:pPr>
        <w:pBdr>
          <w:top w:val="none" w:sz="4" w:space="0" w:color="000000"/>
          <w:left w:val="none" w:sz="4" w:space="0" w:color="000000"/>
          <w:bottom w:val="none" w:sz="4" w:space="0" w:color="000000"/>
          <w:right w:val="none" w:sz="4" w:space="0" w:color="000000"/>
          <w:between w:val="none" w:sz="4" w:space="0" w:color="000000"/>
        </w:pBdr>
        <w:tabs>
          <w:tab w:val="left" w:pos="709"/>
          <w:tab w:val="left" w:pos="1134"/>
        </w:tabs>
        <w:spacing w:line="264" w:lineRule="auto"/>
        <w:jc w:val="both"/>
        <w:rPr>
          <w:lang w:val="en-US"/>
        </w:rPr>
      </w:pPr>
      <w:r>
        <w:rPr>
          <w:lang w:val="en-US"/>
        </w:rPr>
        <w:t>STB</w:t>
      </w:r>
      <w:r w:rsidRPr="00B82A49">
        <w:rPr>
          <w:lang w:val="en-US"/>
        </w:rPr>
        <w:t>/MF</w:t>
      </w:r>
      <w:r>
        <w:rPr>
          <w:lang w:val="en-US"/>
        </w:rPr>
        <w:t>O</w:t>
      </w:r>
      <w:r w:rsidRPr="00B82A49">
        <w:rPr>
          <w:lang w:val="en-US"/>
        </w:rPr>
        <w:t>/LC</w:t>
      </w:r>
      <w:r w:rsidRPr="00B15E7D">
        <w:rPr>
          <w:rFonts w:eastAsia="Times New Roman" w:cs="Times New Roman"/>
          <w:color w:val="000000"/>
          <w:szCs w:val="24"/>
          <w:lang w:val="en-US" w:eastAsia="ru-RU"/>
        </w:rPr>
        <w:t xml:space="preserve"> shall report to the Fund on the use of allocated funds. The procedure, form and frequency of reporting by </w:t>
      </w:r>
      <w:r>
        <w:rPr>
          <w:lang w:val="en-US"/>
        </w:rPr>
        <w:t>STB</w:t>
      </w:r>
      <w:r w:rsidRPr="00B82A49">
        <w:rPr>
          <w:lang w:val="en-US"/>
        </w:rPr>
        <w:t>/MF</w:t>
      </w:r>
      <w:r>
        <w:rPr>
          <w:lang w:val="en-US"/>
        </w:rPr>
        <w:t>O</w:t>
      </w:r>
      <w:r w:rsidRPr="00B82A49">
        <w:rPr>
          <w:lang w:val="en-US"/>
        </w:rPr>
        <w:t>/LC</w:t>
      </w:r>
      <w:r w:rsidRPr="00B15E7D">
        <w:rPr>
          <w:rFonts w:eastAsia="Times New Roman" w:cs="Times New Roman"/>
          <w:color w:val="000000"/>
          <w:szCs w:val="24"/>
          <w:lang w:val="en-US" w:eastAsia="ru-RU"/>
        </w:rPr>
        <w:t xml:space="preserve"> are established by the loan agreement</w:t>
      </w:r>
      <w:r w:rsidR="00F40C5B" w:rsidRPr="00B15E7D">
        <w:rPr>
          <w:lang w:val="en-US"/>
        </w:rPr>
        <w:t>.</w:t>
      </w:r>
    </w:p>
    <w:p w:rsidR="003C362D" w:rsidRPr="00B15E7D" w:rsidRDefault="00B15E7D" w:rsidP="003C362D">
      <w:pPr>
        <w:jc w:val="both"/>
        <w:rPr>
          <w:rFonts w:eastAsia="Times New Roman" w:cs="Times New Roman"/>
          <w:color w:val="222222"/>
          <w:szCs w:val="24"/>
          <w:lang w:val="en-US" w:eastAsia="ru-RU"/>
        </w:rPr>
      </w:pPr>
      <w:r w:rsidRPr="00B15E7D">
        <w:rPr>
          <w:rFonts w:eastAsia="Times New Roman" w:cs="Times New Roman"/>
          <w:color w:val="222222"/>
          <w:szCs w:val="24"/>
          <w:lang w:val="en-US" w:eastAsia="ru-RU"/>
        </w:rPr>
        <w:t xml:space="preserve">The Fund monitors </w:t>
      </w:r>
      <w:r w:rsidR="00FC1012">
        <w:rPr>
          <w:rFonts w:eastAsia="Times New Roman" w:cs="Times New Roman"/>
          <w:color w:val="222222"/>
          <w:szCs w:val="24"/>
          <w:lang w:val="en-US" w:eastAsia="ru-RU"/>
        </w:rPr>
        <w:t>SMME</w:t>
      </w:r>
      <w:r w:rsidRPr="00B15E7D">
        <w:rPr>
          <w:rFonts w:eastAsia="Times New Roman" w:cs="Times New Roman"/>
          <w:color w:val="222222"/>
          <w:szCs w:val="24"/>
          <w:lang w:val="en-US" w:eastAsia="ru-RU"/>
        </w:rPr>
        <w:t xml:space="preserve"> projects financed by </w:t>
      </w:r>
      <w:r>
        <w:rPr>
          <w:lang w:val="en-US"/>
        </w:rPr>
        <w:t>STB</w:t>
      </w:r>
      <w:r w:rsidRPr="00B82A49">
        <w:rPr>
          <w:lang w:val="en-US"/>
        </w:rPr>
        <w:t>/MF</w:t>
      </w:r>
      <w:r>
        <w:rPr>
          <w:lang w:val="en-US"/>
        </w:rPr>
        <w:t>O</w:t>
      </w:r>
      <w:r w:rsidRPr="00B82A49">
        <w:rPr>
          <w:lang w:val="en-US"/>
        </w:rPr>
        <w:t>/LC</w:t>
      </w:r>
      <w:r w:rsidRPr="00B15E7D">
        <w:rPr>
          <w:rFonts w:eastAsia="Times New Roman" w:cs="Times New Roman"/>
          <w:color w:val="222222"/>
          <w:szCs w:val="24"/>
          <w:lang w:val="en-US" w:eastAsia="ru-RU"/>
        </w:rPr>
        <w:t xml:space="preserve"> for proper use of funds and compliance of the </w:t>
      </w:r>
      <w:r w:rsidR="00FC1012">
        <w:rPr>
          <w:rFonts w:eastAsia="Times New Roman" w:cs="Times New Roman"/>
          <w:color w:val="222222"/>
          <w:szCs w:val="24"/>
          <w:lang w:val="en-US" w:eastAsia="ru-RU"/>
        </w:rPr>
        <w:t>SMME</w:t>
      </w:r>
      <w:r w:rsidRPr="00B15E7D">
        <w:rPr>
          <w:rFonts w:eastAsia="Times New Roman" w:cs="Times New Roman"/>
          <w:color w:val="222222"/>
          <w:szCs w:val="24"/>
          <w:lang w:val="en-US" w:eastAsia="ru-RU"/>
        </w:rPr>
        <w:t xml:space="preserve"> project with the terms of the loan agreement in accordance with the Fund's internal documents and the requirements of the loan agreement concluded between the Fund and </w:t>
      </w:r>
      <w:r>
        <w:rPr>
          <w:lang w:val="en-US"/>
        </w:rPr>
        <w:t>STB</w:t>
      </w:r>
      <w:r w:rsidRPr="00B82A49">
        <w:rPr>
          <w:lang w:val="en-US"/>
        </w:rPr>
        <w:t>/MF</w:t>
      </w:r>
      <w:r>
        <w:rPr>
          <w:lang w:val="en-US"/>
        </w:rPr>
        <w:t>O</w:t>
      </w:r>
      <w:r w:rsidRPr="00B82A49">
        <w:rPr>
          <w:lang w:val="en-US"/>
        </w:rPr>
        <w:t>/LC</w:t>
      </w:r>
      <w:r w:rsidR="003C362D" w:rsidRPr="00B15E7D">
        <w:rPr>
          <w:rFonts w:eastAsia="Times New Roman" w:cs="Times New Roman"/>
          <w:color w:val="222222"/>
          <w:szCs w:val="24"/>
          <w:lang w:val="en-US" w:eastAsia="ru-RU"/>
        </w:rPr>
        <w:t>.</w:t>
      </w:r>
    </w:p>
    <w:p w:rsidR="000F76B6" w:rsidRPr="00B15E7D" w:rsidRDefault="000F76B6" w:rsidP="004B5EE2">
      <w:pPr>
        <w:jc w:val="both"/>
        <w:rPr>
          <w:rFonts w:cs="Times New Roman"/>
          <w:szCs w:val="24"/>
          <w:lang w:val="en-US"/>
        </w:rPr>
      </w:pPr>
    </w:p>
    <w:p w:rsidR="00F55E8D" w:rsidRPr="001F2864" w:rsidRDefault="00B15E7D" w:rsidP="00413B85">
      <w:pPr>
        <w:pStyle w:val="1"/>
        <w:numPr>
          <w:ilvl w:val="0"/>
          <w:numId w:val="15"/>
        </w:numPr>
        <w:spacing w:before="0"/>
        <w:rPr>
          <w:rFonts w:ascii="Times New Roman" w:hAnsi="Times New Roman" w:cs="Times New Roman"/>
          <w:b/>
          <w:bCs/>
          <w:color w:val="auto"/>
        </w:rPr>
      </w:pPr>
      <w:bookmarkStart w:id="5" w:name="_Toc82790098"/>
      <w:r>
        <w:rPr>
          <w:rFonts w:ascii="Times New Roman" w:hAnsi="Times New Roman" w:cs="Times New Roman"/>
          <w:b/>
          <w:bCs/>
          <w:color w:val="auto"/>
          <w:lang w:val="en-US"/>
        </w:rPr>
        <w:t>Fund management</w:t>
      </w:r>
      <w:bookmarkEnd w:id="5"/>
    </w:p>
    <w:p w:rsidR="00B15E7D" w:rsidRPr="00B15E7D" w:rsidRDefault="00B15E7D" w:rsidP="00B15E7D">
      <w:pPr>
        <w:jc w:val="both"/>
        <w:rPr>
          <w:rFonts w:cs="Times New Roman"/>
          <w:szCs w:val="24"/>
          <w:lang w:val="en-US"/>
        </w:rPr>
      </w:pPr>
      <w:r w:rsidRPr="00B15E7D">
        <w:rPr>
          <w:rFonts w:cs="Times New Roman"/>
          <w:szCs w:val="24"/>
          <w:lang w:val="en-US"/>
        </w:rPr>
        <w:t xml:space="preserve">Funds raised from the issue of social bonds of the </w:t>
      </w:r>
      <w:r w:rsidRPr="00D3541E">
        <w:rPr>
          <w:rFonts w:cs="Times New Roman"/>
          <w:szCs w:val="24"/>
          <w:lang w:val="en-US"/>
        </w:rPr>
        <w:t>"</w:t>
      </w:r>
      <w:r w:rsidRPr="00B15E7D">
        <w:rPr>
          <w:rFonts w:cs="Times New Roman"/>
          <w:szCs w:val="24"/>
          <w:lang w:val="en-US"/>
        </w:rPr>
        <w:t>Damu</w:t>
      </w:r>
      <w:r w:rsidRPr="00D3541E">
        <w:rPr>
          <w:rFonts w:cs="Times New Roman"/>
          <w:szCs w:val="24"/>
          <w:lang w:val="en-US"/>
        </w:rPr>
        <w:t>"</w:t>
      </w:r>
      <w:r w:rsidRPr="00B15E7D">
        <w:rPr>
          <w:rFonts w:cs="Times New Roman"/>
          <w:szCs w:val="24"/>
          <w:lang w:val="en-US"/>
        </w:rPr>
        <w:t xml:space="preserve"> Fund are held in the special account of the </w:t>
      </w:r>
      <w:r w:rsidRPr="00D3541E">
        <w:rPr>
          <w:rFonts w:cs="Times New Roman"/>
          <w:szCs w:val="24"/>
          <w:lang w:val="en-US"/>
        </w:rPr>
        <w:t>"</w:t>
      </w:r>
      <w:r w:rsidRPr="00B15E7D">
        <w:rPr>
          <w:rFonts w:cs="Times New Roman"/>
          <w:szCs w:val="24"/>
          <w:lang w:val="en-US"/>
        </w:rPr>
        <w:t>Damu</w:t>
      </w:r>
      <w:r w:rsidRPr="00D3541E">
        <w:rPr>
          <w:rFonts w:cs="Times New Roman"/>
          <w:szCs w:val="24"/>
          <w:lang w:val="en-US"/>
        </w:rPr>
        <w:t>"</w:t>
      </w:r>
      <w:r w:rsidRPr="00B15E7D">
        <w:rPr>
          <w:rFonts w:cs="Times New Roman"/>
          <w:szCs w:val="24"/>
          <w:lang w:val="en-US"/>
        </w:rPr>
        <w:t xml:space="preserve"> Fund until the Fund distributes them to </w:t>
      </w:r>
      <w:r>
        <w:rPr>
          <w:lang w:val="en-US"/>
        </w:rPr>
        <w:t>STB</w:t>
      </w:r>
      <w:r w:rsidRPr="00B82A49">
        <w:rPr>
          <w:lang w:val="en-US"/>
        </w:rPr>
        <w:t>/MF</w:t>
      </w:r>
      <w:r>
        <w:rPr>
          <w:lang w:val="en-US"/>
        </w:rPr>
        <w:t>O</w:t>
      </w:r>
      <w:r w:rsidRPr="00B82A49">
        <w:rPr>
          <w:lang w:val="en-US"/>
        </w:rPr>
        <w:t>/LC</w:t>
      </w:r>
      <w:r w:rsidRPr="00B15E7D">
        <w:rPr>
          <w:rFonts w:cs="Times New Roman"/>
          <w:szCs w:val="24"/>
          <w:lang w:val="en-US"/>
        </w:rPr>
        <w:t xml:space="preserve">. Following the Fund's allocation of funds to </w:t>
      </w:r>
      <w:r>
        <w:rPr>
          <w:lang w:val="en-US"/>
        </w:rPr>
        <w:t>STB</w:t>
      </w:r>
      <w:r w:rsidRPr="00B82A49">
        <w:rPr>
          <w:lang w:val="en-US"/>
        </w:rPr>
        <w:t>/MF</w:t>
      </w:r>
      <w:r>
        <w:rPr>
          <w:lang w:val="en-US"/>
        </w:rPr>
        <w:t>O</w:t>
      </w:r>
      <w:r w:rsidRPr="00B82A49">
        <w:rPr>
          <w:lang w:val="en-US"/>
        </w:rPr>
        <w:t>/LC</w:t>
      </w:r>
      <w:r w:rsidRPr="00B15E7D">
        <w:rPr>
          <w:rFonts w:cs="Times New Roman"/>
          <w:szCs w:val="24"/>
          <w:lang w:val="en-US"/>
        </w:rPr>
        <w:t xml:space="preserve">, the latter shall allocate the funds to finance </w:t>
      </w:r>
      <w:r w:rsidR="00FC1012">
        <w:rPr>
          <w:rFonts w:cs="Times New Roman"/>
          <w:szCs w:val="24"/>
          <w:lang w:val="en-US"/>
        </w:rPr>
        <w:t>SMME</w:t>
      </w:r>
      <w:r w:rsidRPr="00B15E7D">
        <w:rPr>
          <w:rFonts w:cs="Times New Roman"/>
          <w:szCs w:val="24"/>
          <w:lang w:val="en-US"/>
        </w:rPr>
        <w:t xml:space="preserve">s complying with the terms of the loan agreement. </w:t>
      </w:r>
    </w:p>
    <w:p w:rsidR="00B15E7D" w:rsidRPr="00B15E7D" w:rsidRDefault="00B15E7D" w:rsidP="00B15E7D">
      <w:pPr>
        <w:jc w:val="both"/>
        <w:rPr>
          <w:rFonts w:cs="Times New Roman"/>
          <w:szCs w:val="24"/>
          <w:lang w:val="en-US"/>
        </w:rPr>
      </w:pPr>
      <w:r w:rsidRPr="00D3541E">
        <w:rPr>
          <w:rFonts w:cs="Times New Roman"/>
          <w:szCs w:val="24"/>
          <w:lang w:val="en-US"/>
        </w:rPr>
        <w:t>"</w:t>
      </w:r>
      <w:r w:rsidRPr="00B15E7D">
        <w:rPr>
          <w:rFonts w:cs="Times New Roman"/>
          <w:szCs w:val="24"/>
          <w:lang w:val="en-US"/>
        </w:rPr>
        <w:t>Damu</w:t>
      </w:r>
      <w:r w:rsidRPr="00D3541E">
        <w:rPr>
          <w:rFonts w:cs="Times New Roman"/>
          <w:szCs w:val="24"/>
          <w:lang w:val="en-US"/>
        </w:rPr>
        <w:t>"</w:t>
      </w:r>
      <w:r w:rsidRPr="00B15E7D">
        <w:rPr>
          <w:rFonts w:cs="Times New Roman"/>
          <w:szCs w:val="24"/>
          <w:lang w:val="en-US"/>
        </w:rPr>
        <w:t xml:space="preserve"> Fund has the right to place the unallocated amount of funds raised from the sale of social bonds in liquid and highly reliable financial instruments permitted for investment in accordance with the Rules of management of temporarily free funds of </w:t>
      </w:r>
      <w:r w:rsidRPr="00D3541E">
        <w:rPr>
          <w:rFonts w:cs="Times New Roman"/>
          <w:szCs w:val="24"/>
          <w:lang w:val="en-US"/>
        </w:rPr>
        <w:t>"</w:t>
      </w:r>
      <w:r w:rsidRPr="00B15E7D">
        <w:rPr>
          <w:rFonts w:cs="Times New Roman"/>
          <w:szCs w:val="24"/>
          <w:lang w:val="en-US"/>
        </w:rPr>
        <w:t>Damu</w:t>
      </w:r>
      <w:r w:rsidRPr="00D3541E">
        <w:rPr>
          <w:rFonts w:cs="Times New Roman"/>
          <w:szCs w:val="24"/>
          <w:lang w:val="en-US"/>
        </w:rPr>
        <w:t>"</w:t>
      </w:r>
      <w:r w:rsidRPr="00B15E7D">
        <w:rPr>
          <w:rFonts w:cs="Times New Roman"/>
          <w:szCs w:val="24"/>
          <w:lang w:val="en-US"/>
        </w:rPr>
        <w:t xml:space="preserve"> Entrepreneurship Development Fund</w:t>
      </w:r>
      <w:r w:rsidRPr="00D3541E">
        <w:rPr>
          <w:rFonts w:cs="Times New Roman"/>
          <w:szCs w:val="24"/>
          <w:lang w:val="en-US"/>
        </w:rPr>
        <w:t>"</w:t>
      </w:r>
      <w:r w:rsidRPr="00B15E7D">
        <w:rPr>
          <w:rFonts w:cs="Times New Roman"/>
          <w:szCs w:val="24"/>
          <w:lang w:val="en-US"/>
        </w:rPr>
        <w:t xml:space="preserve"> JSC, which can be sold as soon as possible without forming cash gaps when there is a need for targeted funding, that is, until such time as these funds will be transferred to the portfolio of assets / projects of social</w:t>
      </w:r>
    </w:p>
    <w:p w:rsidR="000F76B6" w:rsidRPr="00B15E7D" w:rsidRDefault="00B15E7D" w:rsidP="00B15E7D">
      <w:pPr>
        <w:jc w:val="both"/>
        <w:rPr>
          <w:rFonts w:cs="Times New Roman"/>
          <w:szCs w:val="24"/>
          <w:lang w:val="en-US"/>
        </w:rPr>
      </w:pPr>
      <w:r w:rsidRPr="00B15E7D">
        <w:rPr>
          <w:rFonts w:cs="Times New Roman"/>
          <w:szCs w:val="24"/>
          <w:lang w:val="en-US"/>
        </w:rPr>
        <w:t xml:space="preserve">An external audit to verify the use of funds raised by the </w:t>
      </w:r>
      <w:r w:rsidRPr="00D3541E">
        <w:rPr>
          <w:rFonts w:cs="Times New Roman"/>
          <w:szCs w:val="24"/>
          <w:lang w:val="en-US"/>
        </w:rPr>
        <w:t>"</w:t>
      </w:r>
      <w:r w:rsidRPr="00B15E7D">
        <w:rPr>
          <w:rFonts w:cs="Times New Roman"/>
          <w:szCs w:val="24"/>
          <w:lang w:val="en-US"/>
        </w:rPr>
        <w:t>Damu</w:t>
      </w:r>
      <w:r w:rsidRPr="00D3541E">
        <w:rPr>
          <w:rFonts w:cs="Times New Roman"/>
          <w:szCs w:val="24"/>
          <w:lang w:val="en-US"/>
        </w:rPr>
        <w:t>"</w:t>
      </w:r>
      <w:r w:rsidRPr="00B15E7D">
        <w:rPr>
          <w:rFonts w:cs="Times New Roman"/>
          <w:szCs w:val="24"/>
          <w:lang w:val="en-US"/>
        </w:rPr>
        <w:t xml:space="preserve"> Fund will be conducted as part of an annual audit of the </w:t>
      </w:r>
      <w:r w:rsidRPr="00D3541E">
        <w:rPr>
          <w:rFonts w:cs="Times New Roman"/>
          <w:szCs w:val="24"/>
          <w:lang w:val="en-US"/>
        </w:rPr>
        <w:t>"</w:t>
      </w:r>
      <w:r w:rsidRPr="00B15E7D">
        <w:rPr>
          <w:rFonts w:cs="Times New Roman"/>
          <w:szCs w:val="24"/>
          <w:lang w:val="en-US"/>
        </w:rPr>
        <w:t>Damu</w:t>
      </w:r>
      <w:r w:rsidRPr="00D3541E">
        <w:rPr>
          <w:rFonts w:cs="Times New Roman"/>
          <w:szCs w:val="24"/>
          <w:lang w:val="en-US"/>
        </w:rPr>
        <w:t>"</w:t>
      </w:r>
      <w:r w:rsidRPr="00B15E7D">
        <w:rPr>
          <w:rFonts w:cs="Times New Roman"/>
          <w:szCs w:val="24"/>
          <w:lang w:val="en-US"/>
        </w:rPr>
        <w:t xml:space="preserve"> Fund by an independent auditing firm</w:t>
      </w:r>
      <w:r w:rsidR="000F76B6" w:rsidRPr="00B15E7D">
        <w:rPr>
          <w:rFonts w:cs="Times New Roman"/>
          <w:szCs w:val="24"/>
          <w:lang w:val="en-US"/>
        </w:rPr>
        <w:t>.</w:t>
      </w:r>
    </w:p>
    <w:p w:rsidR="000F76B6" w:rsidRPr="00B15E7D" w:rsidRDefault="000F76B6" w:rsidP="004B5EE2">
      <w:pPr>
        <w:jc w:val="both"/>
        <w:rPr>
          <w:rFonts w:cs="Times New Roman"/>
          <w:b/>
          <w:bCs/>
          <w:szCs w:val="24"/>
          <w:lang w:val="en-US"/>
        </w:rPr>
      </w:pPr>
    </w:p>
    <w:p w:rsidR="00F55E8D" w:rsidRPr="009B2F24" w:rsidRDefault="00342FCB" w:rsidP="00413B85">
      <w:pPr>
        <w:pStyle w:val="1"/>
        <w:numPr>
          <w:ilvl w:val="0"/>
          <w:numId w:val="15"/>
        </w:numPr>
        <w:spacing w:before="0"/>
        <w:rPr>
          <w:rFonts w:ascii="Times New Roman" w:hAnsi="Times New Roman" w:cs="Times New Roman"/>
          <w:b/>
          <w:bCs/>
          <w:color w:val="auto"/>
        </w:rPr>
      </w:pPr>
      <w:bookmarkStart w:id="6" w:name="_Toc82790099"/>
      <w:r>
        <w:rPr>
          <w:rFonts w:ascii="Times New Roman" w:hAnsi="Times New Roman" w:cs="Times New Roman"/>
          <w:b/>
          <w:bCs/>
          <w:color w:val="auto"/>
          <w:lang w:val="en-US"/>
        </w:rPr>
        <w:t>Reporting</w:t>
      </w:r>
      <w:bookmarkEnd w:id="6"/>
    </w:p>
    <w:p w:rsidR="000F76B6" w:rsidRPr="00342FCB" w:rsidRDefault="00342FCB" w:rsidP="004B5EE2">
      <w:pPr>
        <w:jc w:val="both"/>
        <w:rPr>
          <w:rFonts w:cs="Times New Roman"/>
          <w:szCs w:val="24"/>
          <w:lang w:val="en-US"/>
        </w:rPr>
      </w:pPr>
      <w:r w:rsidRPr="00342FCB">
        <w:rPr>
          <w:rFonts w:cs="Times New Roman"/>
          <w:szCs w:val="24"/>
          <w:lang w:val="en-US"/>
        </w:rPr>
        <w:t xml:space="preserve">The </w:t>
      </w:r>
      <w:r w:rsidRPr="00D3541E">
        <w:rPr>
          <w:rFonts w:cs="Times New Roman"/>
          <w:szCs w:val="24"/>
          <w:lang w:val="en-US"/>
        </w:rPr>
        <w:t>"</w:t>
      </w:r>
      <w:r w:rsidRPr="00342FCB">
        <w:rPr>
          <w:rFonts w:cs="Times New Roman"/>
          <w:szCs w:val="24"/>
          <w:lang w:val="en-US"/>
        </w:rPr>
        <w:t>Damu</w:t>
      </w:r>
      <w:r w:rsidRPr="00D3541E">
        <w:rPr>
          <w:rFonts w:cs="Times New Roman"/>
          <w:szCs w:val="24"/>
          <w:lang w:val="en-US"/>
        </w:rPr>
        <w:t>"</w:t>
      </w:r>
      <w:r w:rsidRPr="00342FCB">
        <w:rPr>
          <w:rFonts w:cs="Times New Roman"/>
          <w:szCs w:val="24"/>
          <w:lang w:val="en-US"/>
        </w:rPr>
        <w:t xml:space="preserve"> Fund will provide and keep publicly available annual updated reports on the social bonds issued from the time of issuance until full redemption and in the event of any material changes. These reports will be published on the official website of the </w:t>
      </w:r>
      <w:r w:rsidRPr="00D3541E">
        <w:rPr>
          <w:rFonts w:cs="Times New Roman"/>
          <w:szCs w:val="24"/>
          <w:lang w:val="en-US"/>
        </w:rPr>
        <w:t>"</w:t>
      </w:r>
      <w:r w:rsidRPr="00342FCB">
        <w:rPr>
          <w:rFonts w:cs="Times New Roman"/>
          <w:szCs w:val="24"/>
          <w:lang w:val="en-US"/>
        </w:rPr>
        <w:t>Damu</w:t>
      </w:r>
      <w:r w:rsidRPr="00D3541E">
        <w:rPr>
          <w:rFonts w:cs="Times New Roman"/>
          <w:szCs w:val="24"/>
          <w:lang w:val="en-US"/>
        </w:rPr>
        <w:t>"</w:t>
      </w:r>
      <w:r w:rsidRPr="00342FCB">
        <w:rPr>
          <w:rFonts w:cs="Times New Roman"/>
          <w:szCs w:val="24"/>
          <w:lang w:val="en-US"/>
        </w:rPr>
        <w:t xml:space="preserve"> Fund www.damu.kz and may include, but are not limited to</w:t>
      </w:r>
      <w:r w:rsidR="000F76B6" w:rsidRPr="00342FCB">
        <w:rPr>
          <w:rFonts w:cs="Times New Roman"/>
          <w:szCs w:val="24"/>
          <w:lang w:val="en-US"/>
        </w:rPr>
        <w:t>:</w:t>
      </w:r>
    </w:p>
    <w:p w:rsidR="000F76B6" w:rsidRPr="00342FCB" w:rsidRDefault="00342FCB" w:rsidP="00212593">
      <w:pPr>
        <w:jc w:val="both"/>
        <w:rPr>
          <w:rFonts w:cs="Times New Roman"/>
          <w:szCs w:val="24"/>
          <w:lang w:val="en-US"/>
        </w:rPr>
      </w:pPr>
      <w:r w:rsidRPr="00342FCB">
        <w:rPr>
          <w:rFonts w:cs="Times New Roman"/>
          <w:b/>
          <w:bCs/>
          <w:szCs w:val="24"/>
          <w:lang w:val="en-US"/>
        </w:rPr>
        <w:t xml:space="preserve">Report on the distribution </w:t>
      </w:r>
      <w:r w:rsidRPr="00342FCB">
        <w:rPr>
          <w:rFonts w:cs="Times New Roman"/>
          <w:bCs/>
          <w:szCs w:val="24"/>
          <w:lang w:val="en-US"/>
        </w:rPr>
        <w:t xml:space="preserve">of funds received from each social bond of the </w:t>
      </w:r>
      <w:r w:rsidRPr="00342FCB">
        <w:rPr>
          <w:rFonts w:cs="Times New Roman"/>
          <w:szCs w:val="24"/>
          <w:lang w:val="en-US"/>
        </w:rPr>
        <w:t>"</w:t>
      </w:r>
      <w:r w:rsidRPr="00342FCB">
        <w:rPr>
          <w:rFonts w:cs="Times New Roman"/>
          <w:bCs/>
          <w:szCs w:val="24"/>
          <w:lang w:val="en-US"/>
        </w:rPr>
        <w:t>Damu</w:t>
      </w:r>
      <w:r w:rsidRPr="00342FCB">
        <w:rPr>
          <w:rFonts w:cs="Times New Roman"/>
          <w:szCs w:val="24"/>
          <w:lang w:val="en-US"/>
        </w:rPr>
        <w:t>"</w:t>
      </w:r>
      <w:r w:rsidRPr="00342FCB">
        <w:rPr>
          <w:rFonts w:cs="Times New Roman"/>
          <w:bCs/>
          <w:szCs w:val="24"/>
          <w:lang w:val="en-US"/>
        </w:rPr>
        <w:t xml:space="preserve"> Fund</w:t>
      </w:r>
      <w:r w:rsidR="00212593" w:rsidRPr="00342FCB">
        <w:rPr>
          <w:rFonts w:cs="Times New Roman"/>
          <w:szCs w:val="24"/>
          <w:lang w:val="en-US"/>
        </w:rPr>
        <w:t>.</w:t>
      </w:r>
      <w:r w:rsidR="000F76B6" w:rsidRPr="00342FCB">
        <w:rPr>
          <w:rFonts w:cs="Times New Roman"/>
          <w:szCs w:val="24"/>
          <w:lang w:val="en-US"/>
        </w:rPr>
        <w:t xml:space="preserve"> </w:t>
      </w:r>
    </w:p>
    <w:p w:rsidR="000F76B6" w:rsidRPr="00342FCB" w:rsidRDefault="00342FCB" w:rsidP="004B5EE2">
      <w:pPr>
        <w:jc w:val="both"/>
        <w:rPr>
          <w:rFonts w:cs="Times New Roman"/>
          <w:b/>
          <w:bCs/>
          <w:szCs w:val="24"/>
          <w:lang w:val="en-US"/>
        </w:rPr>
      </w:pPr>
      <w:r>
        <w:rPr>
          <w:rFonts w:cs="Times New Roman"/>
          <w:b/>
          <w:bCs/>
          <w:szCs w:val="24"/>
          <w:lang w:val="en-US"/>
        </w:rPr>
        <w:t>Exposure report</w:t>
      </w:r>
    </w:p>
    <w:p w:rsidR="004722B7" w:rsidRPr="00342FCB" w:rsidRDefault="00342FCB" w:rsidP="004B5EE2">
      <w:pPr>
        <w:jc w:val="both"/>
        <w:rPr>
          <w:rFonts w:cs="Times New Roman"/>
          <w:szCs w:val="24"/>
          <w:lang w:val="en-US"/>
        </w:rPr>
      </w:pPr>
      <w:r w:rsidRPr="00342FCB">
        <w:rPr>
          <w:rFonts w:cs="Times New Roman"/>
          <w:szCs w:val="24"/>
          <w:lang w:val="en-US"/>
        </w:rPr>
        <w:t>Where possible, the "Damu" Fund will provide aggregate information on the use of funds, including performance measures such as (but not limited to)</w:t>
      </w:r>
      <w:r w:rsidR="004722B7" w:rsidRPr="00342FCB">
        <w:rPr>
          <w:rFonts w:cs="Times New Roman"/>
          <w:szCs w:val="24"/>
          <w:lang w:val="en-US"/>
        </w:rPr>
        <w:t>:</w:t>
      </w:r>
    </w:p>
    <w:p w:rsidR="00342FCB" w:rsidRPr="00342FCB" w:rsidRDefault="00342FCB" w:rsidP="00342FCB">
      <w:pPr>
        <w:jc w:val="both"/>
        <w:rPr>
          <w:rFonts w:cs="Times New Roman"/>
          <w:szCs w:val="24"/>
          <w:lang w:val="en-US"/>
        </w:rPr>
      </w:pPr>
      <w:r w:rsidRPr="00342FCB">
        <w:rPr>
          <w:rFonts w:cs="Times New Roman"/>
          <w:szCs w:val="24"/>
          <w:lang w:val="en-US"/>
        </w:rPr>
        <w:t xml:space="preserve">- amount of funding; </w:t>
      </w:r>
    </w:p>
    <w:p w:rsidR="00342FCB" w:rsidRPr="00342FCB" w:rsidRDefault="00342FCB" w:rsidP="00342FCB">
      <w:pPr>
        <w:jc w:val="both"/>
        <w:rPr>
          <w:rFonts w:cs="Times New Roman"/>
          <w:szCs w:val="24"/>
          <w:lang w:val="en-US"/>
        </w:rPr>
      </w:pPr>
      <w:r w:rsidRPr="00342FCB">
        <w:rPr>
          <w:rFonts w:cs="Times New Roman"/>
          <w:szCs w:val="24"/>
          <w:lang w:val="en-US"/>
        </w:rPr>
        <w:t xml:space="preserve">- Number of financed </w:t>
      </w:r>
      <w:r w:rsidR="00FC1012">
        <w:rPr>
          <w:rFonts w:cs="Times New Roman"/>
          <w:szCs w:val="24"/>
          <w:lang w:val="en-US"/>
        </w:rPr>
        <w:t>SMME</w:t>
      </w:r>
      <w:r w:rsidRPr="00342FCB">
        <w:rPr>
          <w:rFonts w:cs="Times New Roman"/>
          <w:szCs w:val="24"/>
          <w:lang w:val="en-US"/>
        </w:rPr>
        <w:t>s;</w:t>
      </w:r>
    </w:p>
    <w:p w:rsidR="00342FCB" w:rsidRPr="00342FCB" w:rsidRDefault="00342FCB" w:rsidP="00342FCB">
      <w:pPr>
        <w:jc w:val="both"/>
        <w:rPr>
          <w:rFonts w:cs="Times New Roman"/>
          <w:szCs w:val="24"/>
          <w:lang w:val="en-US"/>
        </w:rPr>
      </w:pPr>
      <w:r w:rsidRPr="00342FCB">
        <w:rPr>
          <w:rFonts w:cs="Times New Roman"/>
          <w:szCs w:val="24"/>
          <w:lang w:val="en-US"/>
        </w:rPr>
        <w:t>- preservation/increase of the average annual number of jobs;</w:t>
      </w:r>
    </w:p>
    <w:p w:rsidR="00342FCB" w:rsidRPr="00342FCB" w:rsidRDefault="00342FCB" w:rsidP="00342FCB">
      <w:pPr>
        <w:jc w:val="both"/>
        <w:rPr>
          <w:rFonts w:cs="Times New Roman"/>
          <w:szCs w:val="24"/>
          <w:lang w:val="en-US"/>
        </w:rPr>
      </w:pPr>
      <w:r w:rsidRPr="00342FCB">
        <w:rPr>
          <w:rFonts w:cs="Times New Roman"/>
          <w:szCs w:val="24"/>
          <w:lang w:val="en-US"/>
        </w:rPr>
        <w:t>- income growth (income from sales: the cost of sold goods, works, services from the main activity);</w:t>
      </w:r>
    </w:p>
    <w:p w:rsidR="00D97377" w:rsidRPr="00342FCB" w:rsidRDefault="00342FCB" w:rsidP="00342FCB">
      <w:pPr>
        <w:jc w:val="both"/>
        <w:rPr>
          <w:rFonts w:cs="Times New Roman"/>
          <w:szCs w:val="24"/>
          <w:lang w:val="en-US"/>
        </w:rPr>
      </w:pPr>
      <w:r w:rsidRPr="00342FCB">
        <w:rPr>
          <w:rFonts w:cs="Times New Roman"/>
          <w:szCs w:val="24"/>
          <w:lang w:val="en-US"/>
        </w:rPr>
        <w:lastRenderedPageBreak/>
        <w:t>- tax proceeds</w:t>
      </w:r>
      <w:r w:rsidR="00D97377" w:rsidRPr="00342FCB">
        <w:rPr>
          <w:rFonts w:cs="Times New Roman"/>
          <w:szCs w:val="24"/>
          <w:lang w:val="en-US"/>
        </w:rPr>
        <w:t>.</w:t>
      </w:r>
    </w:p>
    <w:p w:rsidR="000F76B6" w:rsidRPr="00653831" w:rsidRDefault="00342FCB" w:rsidP="004B5EE2">
      <w:pPr>
        <w:jc w:val="both"/>
        <w:rPr>
          <w:rFonts w:cs="Times New Roman"/>
          <w:szCs w:val="24"/>
          <w:lang w:val="kk-KZ"/>
        </w:rPr>
      </w:pPr>
      <w:r w:rsidRPr="00342FCB">
        <w:rPr>
          <w:rFonts w:cs="Times New Roman"/>
          <w:szCs w:val="24"/>
          <w:lang w:val="en-US"/>
        </w:rPr>
        <w:t>Disclosures related to the use of funds raised, impact reporting, and projects financed or refinanced are subject to the "Damu" Fund's obligations of confidentiality and availability of such information</w:t>
      </w:r>
      <w:r w:rsidR="000F76B6" w:rsidRPr="00342FCB">
        <w:rPr>
          <w:rFonts w:cs="Times New Roman"/>
          <w:szCs w:val="24"/>
          <w:lang w:val="en-US"/>
        </w:rPr>
        <w:t>.</w:t>
      </w:r>
    </w:p>
    <w:p w:rsidR="00F55E8D" w:rsidRPr="00342FCB" w:rsidRDefault="00F55E8D" w:rsidP="004B5EE2">
      <w:pPr>
        <w:jc w:val="both"/>
        <w:rPr>
          <w:rFonts w:cs="Times New Roman"/>
          <w:szCs w:val="24"/>
          <w:lang w:val="en-US"/>
        </w:rPr>
      </w:pPr>
    </w:p>
    <w:p w:rsidR="00F55E8D" w:rsidRPr="009B2F24" w:rsidRDefault="00342FCB" w:rsidP="00413B85">
      <w:pPr>
        <w:pStyle w:val="1"/>
        <w:numPr>
          <w:ilvl w:val="0"/>
          <w:numId w:val="15"/>
        </w:numPr>
        <w:spacing w:before="0"/>
        <w:rPr>
          <w:rFonts w:ascii="Times New Roman" w:hAnsi="Times New Roman" w:cs="Times New Roman"/>
          <w:b/>
          <w:bCs/>
          <w:color w:val="auto"/>
        </w:rPr>
      </w:pPr>
      <w:bookmarkStart w:id="7" w:name="_Toc82790100"/>
      <w:r w:rsidRPr="00342FCB">
        <w:rPr>
          <w:rFonts w:ascii="Times New Roman" w:hAnsi="Times New Roman" w:cs="Times New Roman"/>
          <w:b/>
          <w:bCs/>
          <w:color w:val="auto"/>
        </w:rPr>
        <w:t>External Review</w:t>
      </w:r>
      <w:bookmarkEnd w:id="7"/>
    </w:p>
    <w:p w:rsidR="00342FCB" w:rsidRPr="00342FCB" w:rsidRDefault="00342FCB" w:rsidP="00342FCB">
      <w:pPr>
        <w:jc w:val="both"/>
        <w:rPr>
          <w:rFonts w:eastAsiaTheme="majorEastAsia" w:cs="Times New Roman"/>
          <w:iCs/>
          <w:szCs w:val="24"/>
          <w:lang w:val="en-US"/>
        </w:rPr>
      </w:pPr>
      <w:r w:rsidRPr="00342FCB">
        <w:rPr>
          <w:rFonts w:cs="Times New Roman"/>
          <w:szCs w:val="24"/>
          <w:lang w:val="en-US"/>
        </w:rPr>
        <w:t>"</w:t>
      </w:r>
      <w:r w:rsidRPr="00342FCB">
        <w:rPr>
          <w:rFonts w:eastAsiaTheme="majorEastAsia" w:cs="Times New Roman"/>
          <w:iCs/>
          <w:szCs w:val="24"/>
          <w:lang w:val="en-US"/>
        </w:rPr>
        <w:t>Damu</w:t>
      </w:r>
      <w:r w:rsidRPr="00342FCB">
        <w:rPr>
          <w:rFonts w:cs="Times New Roman"/>
          <w:szCs w:val="24"/>
          <w:lang w:val="en-US"/>
        </w:rPr>
        <w:t>"</w:t>
      </w:r>
      <w:r w:rsidRPr="00342FCB">
        <w:rPr>
          <w:rFonts w:eastAsiaTheme="majorEastAsia" w:cs="Times New Roman"/>
          <w:iCs/>
          <w:szCs w:val="24"/>
          <w:lang w:val="en-US"/>
        </w:rPr>
        <w:t xml:space="preserve"> Fund reserves the right to provide any type of external review: an external advisor's opinion, Verification, Certification or Rating.</w:t>
      </w:r>
    </w:p>
    <w:p w:rsidR="00342FCB" w:rsidRPr="00342FCB" w:rsidRDefault="00342FCB" w:rsidP="00342FCB">
      <w:pPr>
        <w:jc w:val="both"/>
        <w:rPr>
          <w:rFonts w:eastAsiaTheme="majorEastAsia" w:cs="Times New Roman"/>
          <w:iCs/>
          <w:szCs w:val="24"/>
          <w:lang w:val="en-US"/>
        </w:rPr>
      </w:pPr>
      <w:r w:rsidRPr="00342FCB">
        <w:rPr>
          <w:rFonts w:eastAsiaTheme="majorEastAsia" w:cs="Times New Roman"/>
          <w:iCs/>
          <w:szCs w:val="24"/>
          <w:lang w:val="en-US"/>
        </w:rPr>
        <w:t xml:space="preserve">Annual reports on the use and management of the funds raised will be reviewed and signed by independent reviewers to confirm the social status of the bond(s). This may take the form of a letter signed by the independent reviewer and may also include a statement from the financial auditor regarding the use of the funds raised. </w:t>
      </w:r>
    </w:p>
    <w:p w:rsidR="000F76B6" w:rsidRPr="00342FCB" w:rsidRDefault="00342FCB" w:rsidP="00342FCB">
      <w:pPr>
        <w:jc w:val="both"/>
        <w:rPr>
          <w:lang w:val="en-US"/>
        </w:rPr>
      </w:pPr>
      <w:r w:rsidRPr="00342FCB">
        <w:rPr>
          <w:rFonts w:eastAsiaTheme="majorEastAsia" w:cs="Times New Roman"/>
          <w:iCs/>
          <w:szCs w:val="24"/>
          <w:lang w:val="en-US"/>
        </w:rPr>
        <w:t xml:space="preserve">External reviews and annual reports of the issued social bonds will be published on the </w:t>
      </w:r>
      <w:r w:rsidRPr="00342FCB">
        <w:rPr>
          <w:rFonts w:cs="Times New Roman"/>
          <w:szCs w:val="24"/>
          <w:lang w:val="en-US"/>
        </w:rPr>
        <w:t>"</w:t>
      </w:r>
      <w:r w:rsidRPr="00342FCB">
        <w:rPr>
          <w:rFonts w:eastAsiaTheme="majorEastAsia" w:cs="Times New Roman"/>
          <w:iCs/>
          <w:szCs w:val="24"/>
          <w:lang w:val="en-US"/>
        </w:rPr>
        <w:t>Damu</w:t>
      </w:r>
      <w:r w:rsidRPr="00342FCB">
        <w:rPr>
          <w:rFonts w:cs="Times New Roman"/>
          <w:szCs w:val="24"/>
          <w:lang w:val="en-US"/>
        </w:rPr>
        <w:t>"</w:t>
      </w:r>
      <w:r w:rsidRPr="00342FCB">
        <w:rPr>
          <w:rFonts w:eastAsiaTheme="majorEastAsia" w:cs="Times New Roman"/>
          <w:iCs/>
          <w:szCs w:val="24"/>
          <w:lang w:val="en-US"/>
        </w:rPr>
        <w:t xml:space="preserve"> Fund website at the time of issuance and before the maturity of the social bonds</w:t>
      </w:r>
      <w:r w:rsidR="000F76B6" w:rsidRPr="00342FCB">
        <w:rPr>
          <w:lang w:val="en-US"/>
        </w:rPr>
        <w:t>.</w:t>
      </w:r>
    </w:p>
    <w:p w:rsidR="00F55E8D" w:rsidRDefault="00F55E8D" w:rsidP="004B5EE2">
      <w:pPr>
        <w:jc w:val="both"/>
        <w:rPr>
          <w:rFonts w:cs="Times New Roman"/>
          <w:szCs w:val="24"/>
          <w:lang w:val="kk-KZ"/>
        </w:rPr>
      </w:pPr>
    </w:p>
    <w:p w:rsidR="009D76A0" w:rsidRDefault="009D76A0" w:rsidP="004B5EE2">
      <w:pPr>
        <w:jc w:val="both"/>
        <w:rPr>
          <w:rFonts w:cs="Times New Roman"/>
          <w:szCs w:val="24"/>
          <w:lang w:val="kk-KZ"/>
        </w:rPr>
      </w:pPr>
    </w:p>
    <w:p w:rsidR="009D76A0" w:rsidRPr="00342FCB" w:rsidRDefault="00342FCB" w:rsidP="009D76A0">
      <w:pPr>
        <w:ind w:firstLine="0"/>
        <w:jc w:val="right"/>
        <w:rPr>
          <w:rFonts w:cs="Times New Roman"/>
          <w:szCs w:val="24"/>
          <w:lang w:val="en-US"/>
        </w:rPr>
      </w:pPr>
      <w:r w:rsidRPr="00342FCB">
        <w:rPr>
          <w:rFonts w:cs="Times New Roman"/>
          <w:szCs w:val="24"/>
          <w:lang w:val="kk-KZ"/>
        </w:rPr>
        <w:t>A</w:t>
      </w:r>
      <w:r w:rsidR="00AA1A1B">
        <w:rPr>
          <w:rFonts w:cs="Times New Roman"/>
          <w:szCs w:val="24"/>
          <w:lang w:val="en-US"/>
        </w:rPr>
        <w:t>nnex</w:t>
      </w:r>
      <w:r w:rsidRPr="00342FCB">
        <w:rPr>
          <w:rFonts w:cs="Times New Roman"/>
          <w:szCs w:val="24"/>
          <w:lang w:val="kk-KZ"/>
        </w:rPr>
        <w:t xml:space="preserve"> No. 1 to the Social Bond Policy of Damu Entrepreneurship Development Fund JSC</w:t>
      </w:r>
      <w:r w:rsidR="009D76A0">
        <w:rPr>
          <w:rFonts w:cs="Times New Roman"/>
          <w:szCs w:val="24"/>
          <w:lang w:val="kk-KZ"/>
        </w:rPr>
        <w:t xml:space="preserve"> </w:t>
      </w:r>
      <w:r w:rsidR="009D76A0" w:rsidRPr="00342FCB">
        <w:rPr>
          <w:rFonts w:cs="Times New Roman"/>
          <w:szCs w:val="24"/>
          <w:lang w:val="en-US"/>
        </w:rPr>
        <w:t>(</w:t>
      </w:r>
      <w:r w:rsidR="009D76A0" w:rsidRPr="00C26C9B">
        <w:rPr>
          <w:rFonts w:cs="Times New Roman"/>
          <w:szCs w:val="24"/>
          <w:lang w:val="en-US"/>
        </w:rPr>
        <w:t>Social</w:t>
      </w:r>
      <w:r w:rsidR="009D76A0" w:rsidRPr="00342FCB">
        <w:rPr>
          <w:rFonts w:cs="Times New Roman"/>
          <w:szCs w:val="24"/>
          <w:lang w:val="en-US"/>
        </w:rPr>
        <w:t xml:space="preserve"> </w:t>
      </w:r>
      <w:r w:rsidR="009D76A0" w:rsidRPr="00C26C9B">
        <w:rPr>
          <w:rFonts w:cs="Times New Roman"/>
          <w:szCs w:val="24"/>
          <w:lang w:val="en-US"/>
        </w:rPr>
        <w:t>Bond</w:t>
      </w:r>
      <w:r w:rsidR="009D76A0" w:rsidRPr="00342FCB">
        <w:rPr>
          <w:rFonts w:cs="Times New Roman"/>
          <w:szCs w:val="24"/>
          <w:lang w:val="en-US"/>
        </w:rPr>
        <w:t xml:space="preserve"> </w:t>
      </w:r>
      <w:r w:rsidR="009D76A0" w:rsidRPr="00C26C9B">
        <w:rPr>
          <w:rFonts w:cs="Times New Roman"/>
          <w:szCs w:val="24"/>
          <w:lang w:val="en-US"/>
        </w:rPr>
        <w:t>Framework</w:t>
      </w:r>
      <w:r w:rsidR="009D76A0" w:rsidRPr="00342FCB">
        <w:rPr>
          <w:rFonts w:cs="Times New Roman"/>
          <w:szCs w:val="24"/>
          <w:lang w:val="en-US"/>
        </w:rPr>
        <w:t>)</w:t>
      </w:r>
    </w:p>
    <w:p w:rsidR="00F6643F" w:rsidRPr="00342FCB" w:rsidRDefault="00F6643F" w:rsidP="009D76A0">
      <w:pPr>
        <w:ind w:firstLine="0"/>
        <w:jc w:val="right"/>
        <w:rPr>
          <w:rFonts w:cs="Times New Roman"/>
          <w:szCs w:val="24"/>
          <w:lang w:val="en-US"/>
        </w:rPr>
      </w:pPr>
    </w:p>
    <w:p w:rsidR="009D76A0" w:rsidRDefault="009D76A0" w:rsidP="004B5EE2">
      <w:pPr>
        <w:jc w:val="both"/>
        <w:rPr>
          <w:rFonts w:cs="Times New Roman"/>
          <w:szCs w:val="24"/>
          <w:lang w:val="kk-KZ"/>
        </w:rPr>
      </w:pPr>
    </w:p>
    <w:tbl>
      <w:tblPr>
        <w:tblStyle w:val="TableGrid"/>
        <w:tblW w:w="9439" w:type="dxa"/>
        <w:tblInd w:w="-91" w:type="dxa"/>
        <w:tblCellMar>
          <w:top w:w="83" w:type="dxa"/>
          <w:left w:w="76" w:type="dxa"/>
          <w:right w:w="68" w:type="dxa"/>
        </w:tblCellMar>
        <w:tblLook w:val="04A0" w:firstRow="1" w:lastRow="0" w:firstColumn="1" w:lastColumn="0" w:noHBand="0" w:noVBand="1"/>
      </w:tblPr>
      <w:tblGrid>
        <w:gridCol w:w="650"/>
        <w:gridCol w:w="993"/>
        <w:gridCol w:w="7796"/>
      </w:tblGrid>
      <w:tr w:rsidR="009D76A0" w:rsidRPr="00077564" w:rsidTr="00CE2D51">
        <w:trPr>
          <w:trHeight w:val="183"/>
        </w:trPr>
        <w:tc>
          <w:tcPr>
            <w:tcW w:w="650" w:type="dxa"/>
            <w:tcBorders>
              <w:top w:val="single" w:sz="6" w:space="0" w:color="000000"/>
              <w:left w:val="single" w:sz="6" w:space="0" w:color="000000"/>
              <w:bottom w:val="single" w:sz="6" w:space="0" w:color="000000"/>
              <w:right w:val="single" w:sz="6" w:space="0" w:color="000000"/>
            </w:tcBorders>
          </w:tcPr>
          <w:p w:rsidR="009D76A0" w:rsidRPr="00077564" w:rsidRDefault="00AA1A1B" w:rsidP="009D76A0">
            <w:pPr>
              <w:ind w:firstLine="0"/>
              <w:jc w:val="center"/>
            </w:pPr>
            <w:r>
              <w:rPr>
                <w:lang w:val="en-US"/>
              </w:rPr>
              <w:t>No.</w:t>
            </w:r>
            <w:r w:rsidR="009D76A0" w:rsidRPr="00077564">
              <w:t xml:space="preserve">  </w:t>
            </w:r>
          </w:p>
        </w:tc>
        <w:tc>
          <w:tcPr>
            <w:tcW w:w="993" w:type="dxa"/>
            <w:tcBorders>
              <w:top w:val="single" w:sz="6" w:space="0" w:color="000000"/>
              <w:left w:val="single" w:sz="6" w:space="0" w:color="000000"/>
              <w:bottom w:val="single" w:sz="6" w:space="0" w:color="000000"/>
              <w:right w:val="single" w:sz="6" w:space="0" w:color="000000"/>
            </w:tcBorders>
          </w:tcPr>
          <w:p w:rsidR="009D76A0" w:rsidRPr="00077564" w:rsidRDefault="00AA1A1B" w:rsidP="00CE2D51">
            <w:pPr>
              <w:ind w:firstLine="66"/>
            </w:pPr>
            <w:r>
              <w:rPr>
                <w:lang w:val="en-US"/>
              </w:rPr>
              <w:t>NCEA</w:t>
            </w:r>
            <w:r w:rsidR="009D76A0" w:rsidRPr="00077564">
              <w:t xml:space="preserve"> </w:t>
            </w:r>
          </w:p>
        </w:tc>
        <w:tc>
          <w:tcPr>
            <w:tcW w:w="7796" w:type="dxa"/>
            <w:tcBorders>
              <w:top w:val="single" w:sz="6" w:space="0" w:color="000000"/>
              <w:left w:val="single" w:sz="6" w:space="0" w:color="000000"/>
              <w:bottom w:val="single" w:sz="6" w:space="0" w:color="000000"/>
              <w:right w:val="single" w:sz="6" w:space="0" w:color="000000"/>
            </w:tcBorders>
          </w:tcPr>
          <w:p w:rsidR="009D76A0" w:rsidRPr="00077564" w:rsidRDefault="00AA1A1B" w:rsidP="00CE2D51">
            <w:pPr>
              <w:ind w:firstLine="65"/>
              <w:jc w:val="center"/>
            </w:pPr>
            <w:r>
              <w:rPr>
                <w:lang w:val="en-US"/>
              </w:rPr>
              <w:t>Types of activities</w:t>
            </w:r>
            <w:r w:rsidR="009D76A0" w:rsidRPr="00077564">
              <w:t xml:space="preserve"> </w:t>
            </w:r>
          </w:p>
        </w:tc>
      </w:tr>
      <w:tr w:rsidR="009D76A0" w:rsidRPr="00077564" w:rsidTr="00CE2D51">
        <w:trPr>
          <w:trHeight w:val="22"/>
        </w:trPr>
        <w:tc>
          <w:tcPr>
            <w:tcW w:w="650" w:type="dxa"/>
            <w:tcBorders>
              <w:top w:val="single" w:sz="6" w:space="0" w:color="000000"/>
              <w:left w:val="single" w:sz="6" w:space="0" w:color="000000"/>
              <w:bottom w:val="single" w:sz="6" w:space="0" w:color="000000"/>
              <w:right w:val="single" w:sz="6" w:space="0" w:color="000000"/>
            </w:tcBorders>
          </w:tcPr>
          <w:p w:rsidR="009D76A0" w:rsidRPr="00077564" w:rsidRDefault="009D76A0" w:rsidP="009D76A0">
            <w:pPr>
              <w:ind w:firstLine="134"/>
              <w:jc w:val="center"/>
            </w:pPr>
            <w:r w:rsidRPr="00077564">
              <w:t xml:space="preserve">1 </w:t>
            </w:r>
          </w:p>
        </w:tc>
        <w:tc>
          <w:tcPr>
            <w:tcW w:w="993" w:type="dxa"/>
            <w:tcBorders>
              <w:top w:val="single" w:sz="6" w:space="0" w:color="000000"/>
              <w:left w:val="single" w:sz="6" w:space="0" w:color="000000"/>
              <w:bottom w:val="single" w:sz="6" w:space="0" w:color="000000"/>
              <w:right w:val="single" w:sz="6" w:space="0" w:color="000000"/>
            </w:tcBorders>
          </w:tcPr>
          <w:p w:rsidR="009D76A0" w:rsidRPr="00077564" w:rsidRDefault="009D76A0" w:rsidP="00CE2D51">
            <w:pPr>
              <w:tabs>
                <w:tab w:val="left" w:pos="572"/>
              </w:tabs>
              <w:ind w:hanging="76"/>
              <w:jc w:val="center"/>
            </w:pPr>
            <w:r w:rsidRPr="00077564">
              <w:t xml:space="preserve">2 </w:t>
            </w:r>
          </w:p>
        </w:tc>
        <w:tc>
          <w:tcPr>
            <w:tcW w:w="7796" w:type="dxa"/>
            <w:tcBorders>
              <w:top w:val="single" w:sz="6" w:space="0" w:color="000000"/>
              <w:left w:val="single" w:sz="6" w:space="0" w:color="000000"/>
              <w:bottom w:val="single" w:sz="6" w:space="0" w:color="000000"/>
              <w:right w:val="single" w:sz="6" w:space="0" w:color="000000"/>
            </w:tcBorders>
          </w:tcPr>
          <w:p w:rsidR="009D76A0" w:rsidRPr="00077564" w:rsidRDefault="009D76A0" w:rsidP="00CE2D51">
            <w:pPr>
              <w:ind w:firstLine="0"/>
              <w:jc w:val="center"/>
            </w:pPr>
            <w:r w:rsidRPr="00077564">
              <w:t xml:space="preserve">3 </w:t>
            </w:r>
          </w:p>
        </w:tc>
      </w:tr>
      <w:tr w:rsidR="00AA1A1B" w:rsidRPr="00AA1A1B" w:rsidTr="00C61FC7">
        <w:trPr>
          <w:trHeight w:val="492"/>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45.11.2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Retail trade in automobiles and light motor vehicles in retail facilities with a sales area of less than 2000 sq. m. </w:t>
            </w:r>
          </w:p>
        </w:tc>
      </w:tr>
      <w:tr w:rsidR="00AA1A1B" w:rsidRPr="00AA1A1B" w:rsidTr="00C61FC7">
        <w:trPr>
          <w:trHeight w:val="546"/>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45.11.3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Retail trade in automobiles and light motor vehicles in retail establishments with a sales area of more than 2000 sq. m. (2000 sq. m and above) </w:t>
            </w:r>
          </w:p>
        </w:tc>
      </w:tr>
      <w:tr w:rsidR="00AA1A1B" w:rsidRPr="00AA1A1B" w:rsidTr="00C61FC7">
        <w:trPr>
          <w:trHeight w:val="49"/>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3.</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45.20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Repair and maintenance of motor vehicles </w:t>
            </w:r>
          </w:p>
        </w:tc>
      </w:tr>
      <w:tr w:rsidR="00AA1A1B" w:rsidRPr="00AA1A1B" w:rsidTr="00C61FC7">
        <w:trPr>
          <w:trHeight w:val="518"/>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4.</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45.32.1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Retail sale of automotive parts, units and accessories in retail establishments with a sales area less than 2,000 sq.m. </w:t>
            </w:r>
          </w:p>
        </w:tc>
      </w:tr>
      <w:tr w:rsidR="00AA1A1B" w:rsidRPr="00AA1A1B" w:rsidTr="00C61FC7">
        <w:trPr>
          <w:trHeight w:val="47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5.</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45.32.2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Retail sale of automotive parts, units and accessories in retail establishments with a sales area over 2000 sq. m. (2000 sq. m. and above) </w:t>
            </w:r>
          </w:p>
        </w:tc>
      </w:tr>
      <w:tr w:rsidR="00AA1A1B" w:rsidRPr="00AA1A1B" w:rsidTr="00C61FC7">
        <w:trPr>
          <w:trHeight w:val="748"/>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6.</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47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Retail trade with the exception of trade in automobiles and motorcycles (excluding pharmacies and retail trade in food, drinks and tobacco) </w:t>
            </w:r>
          </w:p>
        </w:tc>
      </w:tr>
      <w:tr w:rsidR="00AA1A1B" w:rsidRPr="00AA1A1B" w:rsidTr="00C61FC7">
        <w:trPr>
          <w:trHeight w:val="281"/>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7.</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49.4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Activities of road freight transport and provision of moving services </w:t>
            </w:r>
          </w:p>
        </w:tc>
      </w:tr>
      <w:tr w:rsidR="00AA1A1B" w:rsidRPr="00AA1A1B" w:rsidTr="00C61FC7">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8.</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51.10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Activity of air passenger transport </w:t>
            </w:r>
          </w:p>
        </w:tc>
      </w:tr>
      <w:tr w:rsidR="00AA1A1B" w:rsidRPr="00077564" w:rsidTr="00C61FC7">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9.</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52.23.2 </w:t>
            </w:r>
          </w:p>
        </w:tc>
        <w:tc>
          <w:tcPr>
            <w:tcW w:w="7796" w:type="dxa"/>
            <w:tcBorders>
              <w:top w:val="single" w:sz="6" w:space="0" w:color="000000"/>
              <w:left w:val="single" w:sz="6" w:space="0" w:color="000000"/>
              <w:bottom w:val="single" w:sz="6" w:space="0" w:color="000000"/>
              <w:right w:val="single" w:sz="6" w:space="0" w:color="000000"/>
            </w:tcBorders>
          </w:tcPr>
          <w:p w:rsidR="00AA1A1B" w:rsidRPr="00DA336D" w:rsidRDefault="00AA1A1B" w:rsidP="00AA1A1B">
            <w:pPr>
              <w:ind w:firstLine="0"/>
            </w:pPr>
            <w:r w:rsidRPr="00DA336D">
              <w:t xml:space="preserve">Activity of airports </w:t>
            </w:r>
          </w:p>
        </w:tc>
      </w:tr>
      <w:tr w:rsidR="00AA1A1B" w:rsidRPr="00AA1A1B" w:rsidTr="00C61FC7">
        <w:trPr>
          <w:trHeight w:val="303"/>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10.</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55.10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Provision of services by hotels and similar accommodation facilities</w:t>
            </w:r>
          </w:p>
        </w:tc>
      </w:tr>
      <w:tr w:rsidR="00AA1A1B" w:rsidRPr="00AA1A1B" w:rsidTr="00C61FC7">
        <w:trPr>
          <w:trHeight w:val="239"/>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11.</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56.10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Activity of restaurants and provision of food delivery services </w:t>
            </w:r>
          </w:p>
        </w:tc>
      </w:tr>
      <w:tr w:rsidR="00AA1A1B" w:rsidRPr="00077564"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12.</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58.2 </w:t>
            </w:r>
          </w:p>
        </w:tc>
        <w:tc>
          <w:tcPr>
            <w:tcW w:w="7796" w:type="dxa"/>
            <w:tcBorders>
              <w:top w:val="single" w:sz="6" w:space="0" w:color="000000"/>
              <w:left w:val="single" w:sz="6" w:space="0" w:color="000000"/>
              <w:bottom w:val="single" w:sz="6" w:space="0" w:color="000000"/>
              <w:right w:val="single" w:sz="6" w:space="0" w:color="000000"/>
            </w:tcBorders>
          </w:tcPr>
          <w:p w:rsidR="00AA1A1B" w:rsidRPr="00DA336D" w:rsidRDefault="00AA1A1B" w:rsidP="00AA1A1B">
            <w:pPr>
              <w:ind w:firstLine="0"/>
            </w:pPr>
            <w:r w:rsidRPr="00DA336D">
              <w:t xml:space="preserve">Publishing of software </w:t>
            </w:r>
          </w:p>
        </w:tc>
      </w:tr>
      <w:tr w:rsidR="00AA1A1B" w:rsidRPr="00077564"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13.</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59.14 </w:t>
            </w:r>
          </w:p>
        </w:tc>
        <w:tc>
          <w:tcPr>
            <w:tcW w:w="7796" w:type="dxa"/>
            <w:tcBorders>
              <w:top w:val="single" w:sz="6" w:space="0" w:color="000000"/>
              <w:left w:val="single" w:sz="6" w:space="0" w:color="000000"/>
              <w:bottom w:val="single" w:sz="6" w:space="0" w:color="000000"/>
              <w:right w:val="single" w:sz="6" w:space="0" w:color="000000"/>
            </w:tcBorders>
          </w:tcPr>
          <w:p w:rsidR="00AA1A1B" w:rsidRPr="00DA336D" w:rsidRDefault="00AA1A1B" w:rsidP="00AA1A1B">
            <w:pPr>
              <w:ind w:firstLine="0"/>
            </w:pPr>
            <w:r w:rsidRPr="00DA336D">
              <w:t xml:space="preserve">Film projection activities </w:t>
            </w:r>
          </w:p>
        </w:tc>
      </w:tr>
      <w:tr w:rsidR="00AA1A1B" w:rsidRPr="00077564"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14.</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62.01 </w:t>
            </w:r>
          </w:p>
        </w:tc>
        <w:tc>
          <w:tcPr>
            <w:tcW w:w="7796" w:type="dxa"/>
            <w:tcBorders>
              <w:top w:val="single" w:sz="6" w:space="0" w:color="000000"/>
              <w:left w:val="single" w:sz="6" w:space="0" w:color="000000"/>
              <w:bottom w:val="single" w:sz="6" w:space="0" w:color="000000"/>
              <w:right w:val="single" w:sz="6" w:space="0" w:color="000000"/>
            </w:tcBorders>
          </w:tcPr>
          <w:p w:rsidR="00AA1A1B" w:rsidRPr="00DA336D" w:rsidRDefault="00AA1A1B" w:rsidP="00AA1A1B">
            <w:pPr>
              <w:ind w:firstLine="0"/>
            </w:pPr>
            <w:r w:rsidRPr="00DA336D">
              <w:t xml:space="preserve">Activities in computer programming </w:t>
            </w:r>
          </w:p>
        </w:tc>
      </w:tr>
      <w:tr w:rsidR="00AA1A1B" w:rsidRPr="00AA1A1B" w:rsidTr="00C61FC7">
        <w:tblPrEx>
          <w:tblCellMar>
            <w:left w:w="91" w:type="dxa"/>
            <w:right w:w="51" w:type="dxa"/>
          </w:tblCellMar>
        </w:tblPrEx>
        <w:trPr>
          <w:trHeight w:val="1377"/>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lastRenderedPageBreak/>
              <w:t>15.</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68.20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Leasing and management of own or leased real estate (retail chains and stationary trading facilities, leasing and management of own real estate, leasing commercial premises (shopping malls, retail facilities), except for pharmacies and retail trade in food, beverages and tobacco products) </w:t>
            </w:r>
          </w:p>
        </w:tc>
      </w:tr>
      <w:tr w:rsidR="00AA1A1B" w:rsidRPr="00AA1A1B" w:rsidTr="00C61FC7">
        <w:tblPrEx>
          <w:tblCellMar>
            <w:left w:w="91" w:type="dxa"/>
            <w:right w:w="51" w:type="dxa"/>
          </w:tblCellMar>
        </w:tblPrEx>
        <w:trPr>
          <w:trHeight w:val="930"/>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16.</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69.10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Legal activities (legal consultants, persons engaged in private practice: notaries, attorneys, private bailiffs, mediators, including in case of absence of employees for obligations incurred on their own behalf) </w:t>
            </w:r>
          </w:p>
        </w:tc>
      </w:tr>
      <w:tr w:rsidR="00AA1A1B" w:rsidRPr="00AA1A1B" w:rsidTr="00C61FC7">
        <w:tblPrEx>
          <w:tblCellMar>
            <w:left w:w="91" w:type="dxa"/>
            <w:right w:w="51" w:type="dxa"/>
          </w:tblCellMar>
        </w:tblPrEx>
        <w:trPr>
          <w:trHeight w:val="451"/>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17.</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70.22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Business and other management consulting </w:t>
            </w:r>
          </w:p>
        </w:tc>
      </w:tr>
      <w:tr w:rsidR="00AA1A1B" w:rsidRPr="00AA1A1B"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18.</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71.20.1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Activities of sanitary and epidemiological organizations </w:t>
            </w:r>
          </w:p>
        </w:tc>
      </w:tr>
      <w:tr w:rsidR="00AA1A1B" w:rsidRPr="00AA1A1B"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19.</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79.1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Activities of travel agencies and operators </w:t>
            </w:r>
          </w:p>
        </w:tc>
      </w:tr>
      <w:tr w:rsidR="00AA1A1B" w:rsidRPr="00AA1A1B" w:rsidTr="00C61FC7">
        <w:tblPrEx>
          <w:tblCellMar>
            <w:left w:w="91" w:type="dxa"/>
            <w:right w:w="51" w:type="dxa"/>
          </w:tblCellMar>
        </w:tblPrEx>
        <w:trPr>
          <w:trHeight w:val="424"/>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20.</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85.10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Pre-school education (private pre-school (pre-primary) education)</w:t>
            </w:r>
          </w:p>
        </w:tc>
      </w:tr>
      <w:tr w:rsidR="00AA1A1B" w:rsidRPr="00AA1A1B" w:rsidTr="00C61FC7">
        <w:tblPrEx>
          <w:tblCellMar>
            <w:left w:w="91" w:type="dxa"/>
            <w:right w:w="51" w:type="dxa"/>
          </w:tblCellMar>
        </w:tblPrEx>
        <w:trPr>
          <w:trHeight w:val="147"/>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21.</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85.20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Primary education (private schools, excluding international schools) </w:t>
            </w:r>
          </w:p>
        </w:tc>
      </w:tr>
      <w:tr w:rsidR="00AA1A1B" w:rsidRPr="00AA1A1B" w:rsidTr="00C61FC7">
        <w:tblPrEx>
          <w:tblCellMar>
            <w:left w:w="91" w:type="dxa"/>
            <w:right w:w="51" w:type="dxa"/>
          </w:tblCellMar>
        </w:tblPrEx>
        <w:trPr>
          <w:trHeight w:val="214"/>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22.</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85.30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Secondary education (private schools, excluding international) </w:t>
            </w:r>
          </w:p>
        </w:tc>
      </w:tr>
      <w:tr w:rsidR="00AA1A1B" w:rsidRPr="00AA1A1B" w:rsidTr="00C61FC7">
        <w:tblPrEx>
          <w:tblCellMar>
            <w:left w:w="91" w:type="dxa"/>
            <w:right w:w="51" w:type="dxa"/>
          </w:tblCellMar>
        </w:tblPrEx>
        <w:trPr>
          <w:trHeight w:val="15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23.</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86.10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Activities of hospital organizations (private organizations) </w:t>
            </w:r>
          </w:p>
        </w:tc>
      </w:tr>
      <w:tr w:rsidR="00AA1A1B" w:rsidRPr="00AA1A1B"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24.</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86.10.3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Activities of health resort organisations </w:t>
            </w:r>
          </w:p>
        </w:tc>
      </w:tr>
      <w:tr w:rsidR="00AA1A1B" w:rsidRPr="00AA1A1B" w:rsidTr="00C61FC7">
        <w:tblPrEx>
          <w:tblCellMar>
            <w:left w:w="91" w:type="dxa"/>
            <w:right w:w="51" w:type="dxa"/>
          </w:tblCellMar>
        </w:tblPrEx>
        <w:trPr>
          <w:trHeight w:val="327"/>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25.</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86.2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Doctors' and dentists' activities (private organizations) </w:t>
            </w:r>
          </w:p>
        </w:tc>
      </w:tr>
      <w:tr w:rsidR="00AA1A1B" w:rsidRPr="00AA1A1B" w:rsidTr="00C61FC7">
        <w:tblPrEx>
          <w:tblCellMar>
            <w:left w:w="91" w:type="dxa"/>
            <w:right w:w="51" w:type="dxa"/>
          </w:tblCellMar>
        </w:tblPrEx>
        <w:trPr>
          <w:trHeight w:val="181"/>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26.</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90.04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Activity of concert and theater halls </w:t>
            </w:r>
          </w:p>
        </w:tc>
      </w:tr>
      <w:tr w:rsidR="00AA1A1B" w:rsidRPr="00077564" w:rsidTr="00C61FC7">
        <w:tblPrEx>
          <w:tblCellMar>
            <w:left w:w="91" w:type="dxa"/>
            <w:right w:w="51" w:type="dxa"/>
          </w:tblCellMar>
        </w:tblPrEx>
        <w:trPr>
          <w:trHeight w:val="87"/>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27.</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93.13 </w:t>
            </w:r>
          </w:p>
        </w:tc>
        <w:tc>
          <w:tcPr>
            <w:tcW w:w="7796" w:type="dxa"/>
            <w:tcBorders>
              <w:top w:val="single" w:sz="6" w:space="0" w:color="000000"/>
              <w:left w:val="single" w:sz="6" w:space="0" w:color="000000"/>
              <w:bottom w:val="single" w:sz="6" w:space="0" w:color="000000"/>
              <w:right w:val="single" w:sz="6" w:space="0" w:color="000000"/>
            </w:tcBorders>
          </w:tcPr>
          <w:p w:rsidR="00AA1A1B" w:rsidRPr="00DA336D" w:rsidRDefault="00AA1A1B" w:rsidP="00AA1A1B">
            <w:pPr>
              <w:ind w:firstLine="0"/>
            </w:pPr>
            <w:r w:rsidRPr="00DA336D">
              <w:t xml:space="preserve">Activity of fitness clubs </w:t>
            </w:r>
          </w:p>
        </w:tc>
      </w:tr>
      <w:tr w:rsidR="00AA1A1B" w:rsidRPr="00AA1A1B" w:rsidTr="00C61FC7">
        <w:tblPrEx>
          <w:tblCellMar>
            <w:left w:w="91" w:type="dxa"/>
            <w:right w:w="51" w:type="dxa"/>
          </w:tblCellMar>
        </w:tblPrEx>
        <w:trPr>
          <w:trHeight w:val="22"/>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28.</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96.01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Washing and dry cleaning of textiles and furs </w:t>
            </w:r>
          </w:p>
        </w:tc>
      </w:tr>
      <w:tr w:rsidR="00AA1A1B" w:rsidRPr="00AA1A1B" w:rsidTr="00C61FC7">
        <w:tblPrEx>
          <w:tblCellMar>
            <w:left w:w="91" w:type="dxa"/>
            <w:right w:w="51" w:type="dxa"/>
          </w:tblCellMar>
        </w:tblPrEx>
        <w:trPr>
          <w:trHeight w:val="345"/>
        </w:trPr>
        <w:tc>
          <w:tcPr>
            <w:tcW w:w="650"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firstLine="134"/>
            </w:pPr>
            <w:r w:rsidRPr="00077564">
              <w:t>29.</w:t>
            </w:r>
          </w:p>
        </w:tc>
        <w:tc>
          <w:tcPr>
            <w:tcW w:w="993" w:type="dxa"/>
            <w:tcBorders>
              <w:top w:val="single" w:sz="6" w:space="0" w:color="000000"/>
              <w:left w:val="single" w:sz="6" w:space="0" w:color="000000"/>
              <w:bottom w:val="single" w:sz="6" w:space="0" w:color="000000"/>
              <w:right w:val="single" w:sz="6" w:space="0" w:color="000000"/>
            </w:tcBorders>
            <w:vAlign w:val="center"/>
          </w:tcPr>
          <w:p w:rsidR="00AA1A1B" w:rsidRPr="00077564" w:rsidRDefault="00AA1A1B" w:rsidP="00AA1A1B">
            <w:pPr>
              <w:ind w:hanging="91"/>
              <w:jc w:val="center"/>
            </w:pPr>
            <w:r w:rsidRPr="00077564">
              <w:t xml:space="preserve">96.02 </w:t>
            </w:r>
          </w:p>
        </w:tc>
        <w:tc>
          <w:tcPr>
            <w:tcW w:w="7796" w:type="dxa"/>
            <w:tcBorders>
              <w:top w:val="single" w:sz="6" w:space="0" w:color="000000"/>
              <w:left w:val="single" w:sz="6" w:space="0" w:color="000000"/>
              <w:bottom w:val="single" w:sz="6" w:space="0" w:color="000000"/>
              <w:right w:val="single" w:sz="6" w:space="0" w:color="000000"/>
            </w:tcBorders>
          </w:tcPr>
          <w:p w:rsidR="00AA1A1B" w:rsidRPr="00AA1A1B" w:rsidRDefault="00AA1A1B" w:rsidP="00AA1A1B">
            <w:pPr>
              <w:ind w:firstLine="0"/>
              <w:rPr>
                <w:lang w:val="en-US"/>
              </w:rPr>
            </w:pPr>
            <w:r w:rsidRPr="00AA1A1B">
              <w:rPr>
                <w:lang w:val="en-US"/>
              </w:rPr>
              <w:t xml:space="preserve">Provision of services by hairdressing and beauty salons </w:t>
            </w:r>
          </w:p>
        </w:tc>
      </w:tr>
    </w:tbl>
    <w:p w:rsidR="009D76A0" w:rsidRPr="00AA1A1B" w:rsidRDefault="009D76A0" w:rsidP="004B5EE2">
      <w:pPr>
        <w:jc w:val="both"/>
        <w:rPr>
          <w:rFonts w:cs="Times New Roman"/>
          <w:szCs w:val="24"/>
          <w:lang w:val="en-US"/>
        </w:rPr>
      </w:pPr>
    </w:p>
    <w:p w:rsidR="00356DEA" w:rsidRPr="00AA1A1B" w:rsidRDefault="00E87DD6">
      <w:pPr>
        <w:rPr>
          <w:lang w:val="en-US"/>
        </w:rPr>
      </w:pPr>
    </w:p>
    <w:p w:rsidR="001A784B" w:rsidRPr="00AA1A1B" w:rsidRDefault="00AA1A1B">
      <w:pPr>
        <w:rPr>
          <w:rFonts w:eastAsia="Times New Roman" w:cs="Times New Roman"/>
          <w:lang w:val="en-US" w:eastAsia="ru-RU"/>
        </w:rPr>
      </w:pPr>
      <w:r w:rsidRPr="00AA1A1B">
        <w:rPr>
          <w:rFonts w:eastAsia="Times New Roman" w:cs="Times New Roman"/>
          <w:b/>
          <w:lang w:val="en-US" w:eastAsia="ru-RU"/>
        </w:rPr>
        <w:t>Signed by the Secretary</w:t>
      </w:r>
    </w:p>
    <w:p w:rsidR="001A784B" w:rsidRPr="00AA1A1B" w:rsidRDefault="00150F39">
      <w:pPr>
        <w:rPr>
          <w:rFonts w:eastAsia="Times New Roman" w:cs="Times New Roman"/>
          <w:lang w:val="en-US" w:eastAsia="ru-RU"/>
        </w:rPr>
      </w:pPr>
      <w:r w:rsidRPr="00AA1A1B">
        <w:rPr>
          <w:rFonts w:eastAsia="Times New Roman" w:cs="Times New Roman"/>
          <w:lang w:val="en-US" w:eastAsia="ru-RU"/>
        </w:rPr>
        <w:t xml:space="preserve">03.09.2021 15:38 </w:t>
      </w:r>
      <w:r w:rsidR="00AA1A1B" w:rsidRPr="00AA1A1B">
        <w:rPr>
          <w:rFonts w:eastAsia="Times New Roman" w:cs="Times New Roman"/>
          <w:lang w:eastAsia="ru-RU"/>
        </w:rPr>
        <w:t>Akhat Magauyaevich Khozhamuratov</w:t>
      </w:r>
    </w:p>
    <w:sectPr w:rsidR="001A784B" w:rsidRPr="00AA1A1B">
      <w:footerReference w:type="default" r:id="rId8"/>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C727" w16cex:dateUtc="2021-08-31T09: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D6" w:rsidRDefault="00E87DD6" w:rsidP="003B21DC">
      <w:r>
        <w:separator/>
      </w:r>
    </w:p>
  </w:endnote>
  <w:endnote w:type="continuationSeparator" w:id="0">
    <w:p w:rsidR="00E87DD6" w:rsidRDefault="00E87DD6" w:rsidP="003B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969191"/>
      <w:docPartObj>
        <w:docPartGallery w:val="Page Numbers (Bottom of Page)"/>
        <w:docPartUnique/>
      </w:docPartObj>
    </w:sdtPr>
    <w:sdtEndPr/>
    <w:sdtContent>
      <w:p w:rsidR="009B2F24" w:rsidRDefault="009B2F24">
        <w:pPr>
          <w:pStyle w:val="af0"/>
          <w:jc w:val="right"/>
        </w:pPr>
        <w:r>
          <w:fldChar w:fldCharType="begin"/>
        </w:r>
        <w:r>
          <w:instrText>PAGE   \* MERGEFORMAT</w:instrText>
        </w:r>
        <w:r>
          <w:fldChar w:fldCharType="separate"/>
        </w:r>
        <w:r w:rsidR="0010551F">
          <w:rPr>
            <w:noProof/>
          </w:rPr>
          <w:t>2</w:t>
        </w:r>
        <w:r>
          <w:fldChar w:fldCharType="end"/>
        </w:r>
      </w:p>
    </w:sdtContent>
  </w:sdt>
  <w:p w:rsidR="009B2F24" w:rsidRDefault="009B2F24">
    <w:pPr>
      <w:pStyle w:val="af0"/>
    </w:pPr>
  </w:p>
  <w:tbl>
    <w:tblPr>
      <w:tblpPr w:leftFromText="187" w:rightFromText="187" w:vertAnchor="page" w:horzAnchor="page" w:tblpXSpec="right" w:tblpYSpec="bottom"/>
      <w:tblW w:w="281" w:type="pct"/>
      <w:tblLook w:val="04A0" w:firstRow="1" w:lastRow="0" w:firstColumn="1" w:lastColumn="0" w:noHBand="0" w:noVBand="1"/>
    </w:tblPr>
    <w:tblGrid>
      <w:gridCol w:w="526"/>
    </w:tblGrid>
    <w:tr w:rsidR="00AC16FB" w:rsidRPr="00AA1A1B" w:rsidTr="00AC16FB">
      <w:trPr>
        <w:trHeight w:hRule="exact" w:val="13608"/>
      </w:trPr>
      <w:tc>
        <w:tcPr>
          <w:tcW w:w="538" w:type="dxa"/>
          <w:textDirection w:val="btLr"/>
        </w:tcPr>
        <w:p w:rsidR="00452F81" w:rsidRPr="00AA1A1B" w:rsidRDefault="00AA1A1B" w:rsidP="00AC16FB">
          <w:pPr>
            <w:ind w:left="113" w:right="113"/>
            <w:jc w:val="center"/>
            <w:rPr>
              <w:rFonts w:cs="Times New Roman"/>
              <w:sz w:val="14"/>
              <w:szCs w:val="14"/>
              <w:lang w:val="en-US"/>
            </w:rPr>
          </w:pPr>
          <w:r w:rsidRPr="00AA1A1B">
            <w:rPr>
              <w:rFonts w:cs="Times New Roman"/>
              <w:sz w:val="14"/>
              <w:szCs w:val="14"/>
              <w:lang w:val="en-US"/>
            </w:rPr>
            <w:t>Date: 09/03/2021 4:05 PM. A copy of an electronic document. Positive result of EDS verification</w:t>
          </w:r>
        </w:p>
      </w:tc>
    </w:tr>
    <w:tr w:rsidR="00AC16FB" w:rsidRPr="00AA1A1B" w:rsidTr="00AC16FB">
      <w:trPr>
        <w:trHeight w:hRule="exact" w:val="1701"/>
      </w:trPr>
      <w:tc>
        <w:tcPr>
          <w:tcW w:w="538" w:type="dxa"/>
          <w:textDirection w:val="btLr"/>
        </w:tcPr>
        <w:p w:rsidR="00AC16FB" w:rsidRPr="00AA1A1B" w:rsidRDefault="00E87DD6" w:rsidP="00AC16FB">
          <w:pPr>
            <w:ind w:left="113" w:right="113"/>
            <w:jc w:val="center"/>
            <w:rPr>
              <w:rFonts w:cs="Times New Roman"/>
              <w:sz w:val="14"/>
              <w:szCs w:val="14"/>
              <w:lang w:val="en-US"/>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D6" w:rsidRDefault="00E87DD6" w:rsidP="003B21DC">
      <w:r>
        <w:separator/>
      </w:r>
    </w:p>
  </w:footnote>
  <w:footnote w:type="continuationSeparator" w:id="0">
    <w:p w:rsidR="00E87DD6" w:rsidRDefault="00E87DD6" w:rsidP="003B21DC">
      <w:r>
        <w:continuationSeparator/>
      </w:r>
    </w:p>
  </w:footnote>
  <w:footnote w:id="1">
    <w:p w:rsidR="00AB0153" w:rsidRPr="000F76B6" w:rsidRDefault="00AB0153" w:rsidP="00AB0153">
      <w:pPr>
        <w:pStyle w:val="a7"/>
        <w:rPr>
          <w:rFonts w:cs="Times New Roman"/>
        </w:rPr>
      </w:pPr>
      <w:r w:rsidRPr="002E230D">
        <w:rPr>
          <w:rStyle w:val="a9"/>
          <w:rFonts w:cs="Times New Roman"/>
        </w:rPr>
        <w:footnoteRef/>
      </w:r>
      <w:r w:rsidRPr="002E230D">
        <w:rPr>
          <w:rFonts w:cs="Times New Roman"/>
        </w:rPr>
        <w:t xml:space="preserve"> </w:t>
      </w:r>
      <w:hyperlink r:id="rId1" w:history="1">
        <w:r w:rsidRPr="00492A17">
          <w:rPr>
            <w:rStyle w:val="aa"/>
          </w:rPr>
          <w:t>https://www.icmagroup.org/assets/documents/Regulatory/Green-Bonds/Translations/2020/Russian-SBP2020-06-021120.pdf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AF8"/>
    <w:multiLevelType w:val="multilevel"/>
    <w:tmpl w:val="F190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85E70"/>
    <w:multiLevelType w:val="hybridMultilevel"/>
    <w:tmpl w:val="55F4FAE6"/>
    <w:lvl w:ilvl="0" w:tplc="17404B86">
      <w:start w:val="1"/>
      <w:numFmt w:val="decimal"/>
      <w:lvlText w:val="%1)"/>
      <w:lvlJc w:val="left"/>
      <w:pPr>
        <w:ind w:left="360" w:hanging="360"/>
      </w:pPr>
      <w:rPr>
        <w:rFonts w:eastAsiaTheme="minorHAnsi"/>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832B7A"/>
    <w:multiLevelType w:val="hybridMultilevel"/>
    <w:tmpl w:val="23F0192E"/>
    <w:lvl w:ilvl="0" w:tplc="6B2AB9AE">
      <w:start w:val="1"/>
      <w:numFmt w:val="bullet"/>
      <w:lvlText w:val=""/>
      <w:lvlJc w:val="left"/>
      <w:pPr>
        <w:ind w:left="268" w:hanging="166"/>
      </w:pPr>
      <w:rPr>
        <w:rFonts w:ascii="Symbol" w:eastAsia="Symbol" w:hAnsi="Symbol" w:hint="default"/>
        <w:w w:val="99"/>
        <w:sz w:val="20"/>
        <w:szCs w:val="20"/>
      </w:rPr>
    </w:lvl>
    <w:lvl w:ilvl="1" w:tplc="DBAC1838">
      <w:start w:val="1"/>
      <w:numFmt w:val="bullet"/>
      <w:lvlText w:val="•"/>
      <w:lvlJc w:val="left"/>
      <w:pPr>
        <w:ind w:left="498" w:hanging="166"/>
      </w:pPr>
      <w:rPr>
        <w:rFonts w:hint="default"/>
      </w:rPr>
    </w:lvl>
    <w:lvl w:ilvl="2" w:tplc="7D083C80">
      <w:start w:val="1"/>
      <w:numFmt w:val="bullet"/>
      <w:lvlText w:val="•"/>
      <w:lvlJc w:val="left"/>
      <w:pPr>
        <w:ind w:left="737" w:hanging="166"/>
      </w:pPr>
      <w:rPr>
        <w:rFonts w:hint="default"/>
      </w:rPr>
    </w:lvl>
    <w:lvl w:ilvl="3" w:tplc="48E62DCE">
      <w:start w:val="1"/>
      <w:numFmt w:val="bullet"/>
      <w:lvlText w:val="•"/>
      <w:lvlJc w:val="left"/>
      <w:pPr>
        <w:ind w:left="975" w:hanging="166"/>
      </w:pPr>
      <w:rPr>
        <w:rFonts w:hint="default"/>
      </w:rPr>
    </w:lvl>
    <w:lvl w:ilvl="4" w:tplc="BD4A5988">
      <w:start w:val="1"/>
      <w:numFmt w:val="bullet"/>
      <w:lvlText w:val="•"/>
      <w:lvlJc w:val="left"/>
      <w:pPr>
        <w:ind w:left="1214" w:hanging="166"/>
      </w:pPr>
      <w:rPr>
        <w:rFonts w:hint="default"/>
      </w:rPr>
    </w:lvl>
    <w:lvl w:ilvl="5" w:tplc="0E30BE94">
      <w:start w:val="1"/>
      <w:numFmt w:val="bullet"/>
      <w:lvlText w:val="•"/>
      <w:lvlJc w:val="left"/>
      <w:pPr>
        <w:ind w:left="1452" w:hanging="166"/>
      </w:pPr>
      <w:rPr>
        <w:rFonts w:hint="default"/>
      </w:rPr>
    </w:lvl>
    <w:lvl w:ilvl="6" w:tplc="C0DAF736">
      <w:start w:val="1"/>
      <w:numFmt w:val="bullet"/>
      <w:lvlText w:val="•"/>
      <w:lvlJc w:val="left"/>
      <w:pPr>
        <w:ind w:left="1691" w:hanging="166"/>
      </w:pPr>
      <w:rPr>
        <w:rFonts w:hint="default"/>
      </w:rPr>
    </w:lvl>
    <w:lvl w:ilvl="7" w:tplc="9E2CAF3C">
      <w:start w:val="1"/>
      <w:numFmt w:val="bullet"/>
      <w:lvlText w:val="•"/>
      <w:lvlJc w:val="left"/>
      <w:pPr>
        <w:ind w:left="1930" w:hanging="166"/>
      </w:pPr>
      <w:rPr>
        <w:rFonts w:hint="default"/>
      </w:rPr>
    </w:lvl>
    <w:lvl w:ilvl="8" w:tplc="047661B2">
      <w:start w:val="1"/>
      <w:numFmt w:val="bullet"/>
      <w:lvlText w:val="•"/>
      <w:lvlJc w:val="left"/>
      <w:pPr>
        <w:ind w:left="2168" w:hanging="166"/>
      </w:pPr>
      <w:rPr>
        <w:rFonts w:hint="default"/>
      </w:rPr>
    </w:lvl>
  </w:abstractNum>
  <w:abstractNum w:abstractNumId="3" w15:restartNumberingAfterBreak="0">
    <w:nsid w:val="18313DA6"/>
    <w:multiLevelType w:val="hybridMultilevel"/>
    <w:tmpl w:val="55006194"/>
    <w:lvl w:ilvl="0" w:tplc="040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5C1070A"/>
    <w:multiLevelType w:val="hybridMultilevel"/>
    <w:tmpl w:val="91CCBD30"/>
    <w:lvl w:ilvl="0" w:tplc="72082576">
      <w:start w:val="1"/>
      <w:numFmt w:val="bullet"/>
      <w:lvlText w:val=""/>
      <w:lvlJc w:val="left"/>
      <w:pPr>
        <w:ind w:left="268" w:hanging="166"/>
      </w:pPr>
      <w:rPr>
        <w:rFonts w:ascii="Symbol" w:eastAsia="Symbol" w:hAnsi="Symbol" w:hint="default"/>
        <w:w w:val="99"/>
        <w:sz w:val="20"/>
        <w:szCs w:val="20"/>
      </w:rPr>
    </w:lvl>
    <w:lvl w:ilvl="1" w:tplc="9DE25DAE">
      <w:start w:val="1"/>
      <w:numFmt w:val="bullet"/>
      <w:lvlText w:val="•"/>
      <w:lvlJc w:val="left"/>
      <w:pPr>
        <w:ind w:left="498" w:hanging="166"/>
      </w:pPr>
      <w:rPr>
        <w:rFonts w:hint="default"/>
      </w:rPr>
    </w:lvl>
    <w:lvl w:ilvl="2" w:tplc="5F106B64">
      <w:start w:val="1"/>
      <w:numFmt w:val="bullet"/>
      <w:lvlText w:val="•"/>
      <w:lvlJc w:val="left"/>
      <w:pPr>
        <w:ind w:left="737" w:hanging="166"/>
      </w:pPr>
      <w:rPr>
        <w:rFonts w:hint="default"/>
      </w:rPr>
    </w:lvl>
    <w:lvl w:ilvl="3" w:tplc="65025776">
      <w:start w:val="1"/>
      <w:numFmt w:val="bullet"/>
      <w:lvlText w:val="•"/>
      <w:lvlJc w:val="left"/>
      <w:pPr>
        <w:ind w:left="975" w:hanging="166"/>
      </w:pPr>
      <w:rPr>
        <w:rFonts w:hint="default"/>
      </w:rPr>
    </w:lvl>
    <w:lvl w:ilvl="4" w:tplc="DEF62992">
      <w:start w:val="1"/>
      <w:numFmt w:val="bullet"/>
      <w:lvlText w:val="•"/>
      <w:lvlJc w:val="left"/>
      <w:pPr>
        <w:ind w:left="1214" w:hanging="166"/>
      </w:pPr>
      <w:rPr>
        <w:rFonts w:hint="default"/>
      </w:rPr>
    </w:lvl>
    <w:lvl w:ilvl="5" w:tplc="2954C7D8">
      <w:start w:val="1"/>
      <w:numFmt w:val="bullet"/>
      <w:lvlText w:val="•"/>
      <w:lvlJc w:val="left"/>
      <w:pPr>
        <w:ind w:left="1452" w:hanging="166"/>
      </w:pPr>
      <w:rPr>
        <w:rFonts w:hint="default"/>
      </w:rPr>
    </w:lvl>
    <w:lvl w:ilvl="6" w:tplc="4F42080C">
      <w:start w:val="1"/>
      <w:numFmt w:val="bullet"/>
      <w:lvlText w:val="•"/>
      <w:lvlJc w:val="left"/>
      <w:pPr>
        <w:ind w:left="1691" w:hanging="166"/>
      </w:pPr>
      <w:rPr>
        <w:rFonts w:hint="default"/>
      </w:rPr>
    </w:lvl>
    <w:lvl w:ilvl="7" w:tplc="20B88BD2">
      <w:start w:val="1"/>
      <w:numFmt w:val="bullet"/>
      <w:lvlText w:val="•"/>
      <w:lvlJc w:val="left"/>
      <w:pPr>
        <w:ind w:left="1930" w:hanging="166"/>
      </w:pPr>
      <w:rPr>
        <w:rFonts w:hint="default"/>
      </w:rPr>
    </w:lvl>
    <w:lvl w:ilvl="8" w:tplc="6A0E2036">
      <w:start w:val="1"/>
      <w:numFmt w:val="bullet"/>
      <w:lvlText w:val="•"/>
      <w:lvlJc w:val="left"/>
      <w:pPr>
        <w:ind w:left="2168" w:hanging="166"/>
      </w:pPr>
      <w:rPr>
        <w:rFonts w:hint="default"/>
      </w:rPr>
    </w:lvl>
  </w:abstractNum>
  <w:abstractNum w:abstractNumId="5" w15:restartNumberingAfterBreak="0">
    <w:nsid w:val="2C950047"/>
    <w:multiLevelType w:val="hybridMultilevel"/>
    <w:tmpl w:val="ADECB3F4"/>
    <w:lvl w:ilvl="0" w:tplc="0E6819D0">
      <w:start w:val="1"/>
      <w:numFmt w:val="bullet"/>
      <w:lvlText w:val=""/>
      <w:lvlJc w:val="left"/>
      <w:pPr>
        <w:ind w:left="306" w:hanging="180"/>
      </w:pPr>
      <w:rPr>
        <w:rFonts w:ascii="Symbol" w:eastAsia="Symbol" w:hAnsi="Symbol" w:hint="default"/>
        <w:w w:val="99"/>
        <w:sz w:val="20"/>
        <w:szCs w:val="20"/>
      </w:rPr>
    </w:lvl>
    <w:lvl w:ilvl="1" w:tplc="836E9008">
      <w:start w:val="1"/>
      <w:numFmt w:val="bullet"/>
      <w:lvlText w:val="•"/>
      <w:lvlJc w:val="left"/>
      <w:pPr>
        <w:ind w:left="540" w:hanging="180"/>
      </w:pPr>
      <w:rPr>
        <w:rFonts w:hint="default"/>
      </w:rPr>
    </w:lvl>
    <w:lvl w:ilvl="2" w:tplc="21B817B6">
      <w:start w:val="1"/>
      <w:numFmt w:val="bullet"/>
      <w:lvlText w:val="•"/>
      <w:lvlJc w:val="left"/>
      <w:pPr>
        <w:ind w:left="781" w:hanging="180"/>
      </w:pPr>
      <w:rPr>
        <w:rFonts w:hint="default"/>
      </w:rPr>
    </w:lvl>
    <w:lvl w:ilvl="3" w:tplc="07CC8CFA">
      <w:start w:val="1"/>
      <w:numFmt w:val="bullet"/>
      <w:lvlText w:val="•"/>
      <w:lvlJc w:val="left"/>
      <w:pPr>
        <w:ind w:left="1021" w:hanging="180"/>
      </w:pPr>
      <w:rPr>
        <w:rFonts w:hint="default"/>
      </w:rPr>
    </w:lvl>
    <w:lvl w:ilvl="4" w:tplc="E4EE3D66">
      <w:start w:val="1"/>
      <w:numFmt w:val="bullet"/>
      <w:lvlText w:val="•"/>
      <w:lvlJc w:val="left"/>
      <w:pPr>
        <w:ind w:left="1262" w:hanging="180"/>
      </w:pPr>
      <w:rPr>
        <w:rFonts w:hint="default"/>
      </w:rPr>
    </w:lvl>
    <w:lvl w:ilvl="5" w:tplc="C3FC2B1A">
      <w:start w:val="1"/>
      <w:numFmt w:val="bullet"/>
      <w:lvlText w:val="•"/>
      <w:lvlJc w:val="left"/>
      <w:pPr>
        <w:ind w:left="1503" w:hanging="180"/>
      </w:pPr>
      <w:rPr>
        <w:rFonts w:hint="default"/>
      </w:rPr>
    </w:lvl>
    <w:lvl w:ilvl="6" w:tplc="0D9C6672">
      <w:start w:val="1"/>
      <w:numFmt w:val="bullet"/>
      <w:lvlText w:val="•"/>
      <w:lvlJc w:val="left"/>
      <w:pPr>
        <w:ind w:left="1743" w:hanging="180"/>
      </w:pPr>
      <w:rPr>
        <w:rFonts w:hint="default"/>
      </w:rPr>
    </w:lvl>
    <w:lvl w:ilvl="7" w:tplc="854AD0F8">
      <w:start w:val="1"/>
      <w:numFmt w:val="bullet"/>
      <w:lvlText w:val="•"/>
      <w:lvlJc w:val="left"/>
      <w:pPr>
        <w:ind w:left="1984" w:hanging="180"/>
      </w:pPr>
      <w:rPr>
        <w:rFonts w:hint="default"/>
      </w:rPr>
    </w:lvl>
    <w:lvl w:ilvl="8" w:tplc="73B0CB12">
      <w:start w:val="1"/>
      <w:numFmt w:val="bullet"/>
      <w:lvlText w:val="•"/>
      <w:lvlJc w:val="left"/>
      <w:pPr>
        <w:ind w:left="2225" w:hanging="180"/>
      </w:pPr>
      <w:rPr>
        <w:rFonts w:hint="default"/>
      </w:rPr>
    </w:lvl>
  </w:abstractNum>
  <w:abstractNum w:abstractNumId="6" w15:restartNumberingAfterBreak="0">
    <w:nsid w:val="2D2071C2"/>
    <w:multiLevelType w:val="hybridMultilevel"/>
    <w:tmpl w:val="E32E2128"/>
    <w:lvl w:ilvl="0" w:tplc="54720A92">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431E14"/>
    <w:multiLevelType w:val="hybridMultilevel"/>
    <w:tmpl w:val="36885482"/>
    <w:lvl w:ilvl="0" w:tplc="970AF3B8">
      <w:start w:val="1"/>
      <w:numFmt w:val="bullet"/>
      <w:lvlText w:val=""/>
      <w:lvlJc w:val="left"/>
      <w:pPr>
        <w:ind w:left="312" w:hanging="180"/>
      </w:pPr>
      <w:rPr>
        <w:rFonts w:ascii="Symbol" w:eastAsia="Symbol" w:hAnsi="Symbol" w:hint="default"/>
        <w:w w:val="99"/>
      </w:rPr>
    </w:lvl>
    <w:lvl w:ilvl="1" w:tplc="654ECDAA">
      <w:start w:val="1"/>
      <w:numFmt w:val="bullet"/>
      <w:lvlText w:val="•"/>
      <w:lvlJc w:val="left"/>
      <w:pPr>
        <w:ind w:left="561" w:hanging="180"/>
      </w:pPr>
      <w:rPr>
        <w:rFonts w:hint="default"/>
      </w:rPr>
    </w:lvl>
    <w:lvl w:ilvl="2" w:tplc="A8D81756">
      <w:start w:val="1"/>
      <w:numFmt w:val="bullet"/>
      <w:lvlText w:val="•"/>
      <w:lvlJc w:val="left"/>
      <w:pPr>
        <w:ind w:left="802" w:hanging="180"/>
      </w:pPr>
      <w:rPr>
        <w:rFonts w:hint="default"/>
      </w:rPr>
    </w:lvl>
    <w:lvl w:ilvl="3" w:tplc="854AD302">
      <w:start w:val="1"/>
      <w:numFmt w:val="bullet"/>
      <w:lvlText w:val="•"/>
      <w:lvlJc w:val="left"/>
      <w:pPr>
        <w:ind w:left="1043" w:hanging="180"/>
      </w:pPr>
      <w:rPr>
        <w:rFonts w:hint="default"/>
      </w:rPr>
    </w:lvl>
    <w:lvl w:ilvl="4" w:tplc="7F124E00">
      <w:start w:val="1"/>
      <w:numFmt w:val="bullet"/>
      <w:lvlText w:val="•"/>
      <w:lvlJc w:val="left"/>
      <w:pPr>
        <w:ind w:left="1285" w:hanging="180"/>
      </w:pPr>
      <w:rPr>
        <w:rFonts w:hint="default"/>
      </w:rPr>
    </w:lvl>
    <w:lvl w:ilvl="5" w:tplc="D1EAB59C">
      <w:start w:val="1"/>
      <w:numFmt w:val="bullet"/>
      <w:lvlText w:val="•"/>
      <w:lvlJc w:val="left"/>
      <w:pPr>
        <w:ind w:left="1526" w:hanging="180"/>
      </w:pPr>
      <w:rPr>
        <w:rFonts w:hint="default"/>
      </w:rPr>
    </w:lvl>
    <w:lvl w:ilvl="6" w:tplc="AAA8A3B4">
      <w:start w:val="1"/>
      <w:numFmt w:val="bullet"/>
      <w:lvlText w:val="•"/>
      <w:lvlJc w:val="left"/>
      <w:pPr>
        <w:ind w:left="1767" w:hanging="180"/>
      </w:pPr>
      <w:rPr>
        <w:rFonts w:hint="default"/>
      </w:rPr>
    </w:lvl>
    <w:lvl w:ilvl="7" w:tplc="CAB2A550">
      <w:start w:val="1"/>
      <w:numFmt w:val="bullet"/>
      <w:lvlText w:val="•"/>
      <w:lvlJc w:val="left"/>
      <w:pPr>
        <w:ind w:left="2009" w:hanging="180"/>
      </w:pPr>
      <w:rPr>
        <w:rFonts w:hint="default"/>
      </w:rPr>
    </w:lvl>
    <w:lvl w:ilvl="8" w:tplc="803875E0">
      <w:start w:val="1"/>
      <w:numFmt w:val="bullet"/>
      <w:lvlText w:val="•"/>
      <w:lvlJc w:val="left"/>
      <w:pPr>
        <w:ind w:left="2250" w:hanging="180"/>
      </w:pPr>
      <w:rPr>
        <w:rFonts w:hint="default"/>
      </w:rPr>
    </w:lvl>
  </w:abstractNum>
  <w:abstractNum w:abstractNumId="8" w15:restartNumberingAfterBreak="0">
    <w:nsid w:val="35000CFC"/>
    <w:multiLevelType w:val="multilevel"/>
    <w:tmpl w:val="C8E0D01C"/>
    <w:lvl w:ilvl="0">
      <w:start w:val="6"/>
      <w:numFmt w:val="decimal"/>
      <w:lvlText w:val="%1."/>
      <w:lvlJc w:val="left"/>
      <w:pPr>
        <w:ind w:left="390" w:hanging="389"/>
      </w:pPr>
      <w:rPr>
        <w:rFonts w:hint="default"/>
      </w:rPr>
    </w:lvl>
    <w:lvl w:ilvl="1">
      <w:start w:val="1"/>
      <w:numFmt w:val="decimal"/>
      <w:lvlText w:val="%1.%2."/>
      <w:lvlJc w:val="left"/>
      <w:pPr>
        <w:ind w:left="720" w:hanging="719"/>
      </w:pPr>
      <w:rPr>
        <w:rFonts w:hint="default"/>
        <w:b w:val="0"/>
        <w:bCs w:val="0"/>
      </w:rPr>
    </w:lvl>
    <w:lvl w:ilvl="2">
      <w:start w:val="1"/>
      <w:numFmt w:val="decimal"/>
      <w:lvlText w:val="%1.%2.%3."/>
      <w:lvlJc w:val="left"/>
      <w:pPr>
        <w:ind w:left="720" w:hanging="719"/>
      </w:pPr>
      <w:rPr>
        <w:rFonts w:hint="default"/>
      </w:rPr>
    </w:lvl>
    <w:lvl w:ilvl="3">
      <w:start w:val="1"/>
      <w:numFmt w:val="decimal"/>
      <w:lvlText w:val="%1.%2.%3.%4."/>
      <w:lvlJc w:val="left"/>
      <w:pPr>
        <w:ind w:left="1080" w:hanging="1079"/>
      </w:pPr>
      <w:rPr>
        <w:rFonts w:hint="default"/>
      </w:rPr>
    </w:lvl>
    <w:lvl w:ilvl="4">
      <w:start w:val="1"/>
      <w:numFmt w:val="decimal"/>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2160" w:hanging="2159"/>
      </w:pPr>
      <w:rPr>
        <w:rFonts w:hint="default"/>
      </w:rPr>
    </w:lvl>
  </w:abstractNum>
  <w:abstractNum w:abstractNumId="9" w15:restartNumberingAfterBreak="0">
    <w:nsid w:val="3593173C"/>
    <w:multiLevelType w:val="hybridMultilevel"/>
    <w:tmpl w:val="35D470C4"/>
    <w:lvl w:ilvl="0" w:tplc="6B9CA726">
      <w:start w:val="1"/>
      <w:numFmt w:val="bullet"/>
      <w:lvlText w:val=""/>
      <w:lvlJc w:val="left"/>
      <w:pPr>
        <w:ind w:left="316" w:hanging="188"/>
      </w:pPr>
      <w:rPr>
        <w:rFonts w:ascii="Symbol" w:eastAsia="Symbol" w:hAnsi="Symbol" w:hint="default"/>
        <w:w w:val="99"/>
        <w:sz w:val="20"/>
        <w:szCs w:val="20"/>
      </w:rPr>
    </w:lvl>
    <w:lvl w:ilvl="1" w:tplc="01EAED00">
      <w:start w:val="1"/>
      <w:numFmt w:val="bullet"/>
      <w:lvlText w:val="•"/>
      <w:lvlJc w:val="left"/>
      <w:pPr>
        <w:ind w:left="561" w:hanging="188"/>
      </w:pPr>
      <w:rPr>
        <w:rFonts w:hint="default"/>
      </w:rPr>
    </w:lvl>
    <w:lvl w:ilvl="2" w:tplc="C6704DFC">
      <w:start w:val="1"/>
      <w:numFmt w:val="bullet"/>
      <w:lvlText w:val="•"/>
      <w:lvlJc w:val="left"/>
      <w:pPr>
        <w:ind w:left="802" w:hanging="188"/>
      </w:pPr>
      <w:rPr>
        <w:rFonts w:hint="default"/>
      </w:rPr>
    </w:lvl>
    <w:lvl w:ilvl="3" w:tplc="372C2630">
      <w:start w:val="1"/>
      <w:numFmt w:val="bullet"/>
      <w:lvlText w:val="•"/>
      <w:lvlJc w:val="left"/>
      <w:pPr>
        <w:ind w:left="1043" w:hanging="188"/>
      </w:pPr>
      <w:rPr>
        <w:rFonts w:hint="default"/>
      </w:rPr>
    </w:lvl>
    <w:lvl w:ilvl="4" w:tplc="6A5CBA2A">
      <w:start w:val="1"/>
      <w:numFmt w:val="bullet"/>
      <w:lvlText w:val="•"/>
      <w:lvlJc w:val="left"/>
      <w:pPr>
        <w:ind w:left="1285" w:hanging="188"/>
      </w:pPr>
      <w:rPr>
        <w:rFonts w:hint="default"/>
      </w:rPr>
    </w:lvl>
    <w:lvl w:ilvl="5" w:tplc="87240950">
      <w:start w:val="1"/>
      <w:numFmt w:val="bullet"/>
      <w:lvlText w:val="•"/>
      <w:lvlJc w:val="left"/>
      <w:pPr>
        <w:ind w:left="1526" w:hanging="188"/>
      </w:pPr>
      <w:rPr>
        <w:rFonts w:hint="default"/>
      </w:rPr>
    </w:lvl>
    <w:lvl w:ilvl="6" w:tplc="9F12FEB8">
      <w:start w:val="1"/>
      <w:numFmt w:val="bullet"/>
      <w:lvlText w:val="•"/>
      <w:lvlJc w:val="left"/>
      <w:pPr>
        <w:ind w:left="1767" w:hanging="188"/>
      </w:pPr>
      <w:rPr>
        <w:rFonts w:hint="default"/>
      </w:rPr>
    </w:lvl>
    <w:lvl w:ilvl="7" w:tplc="7B480AAC">
      <w:start w:val="1"/>
      <w:numFmt w:val="bullet"/>
      <w:lvlText w:val="•"/>
      <w:lvlJc w:val="left"/>
      <w:pPr>
        <w:ind w:left="2009" w:hanging="188"/>
      </w:pPr>
      <w:rPr>
        <w:rFonts w:hint="default"/>
      </w:rPr>
    </w:lvl>
    <w:lvl w:ilvl="8" w:tplc="A2C25446">
      <w:start w:val="1"/>
      <w:numFmt w:val="bullet"/>
      <w:lvlText w:val="•"/>
      <w:lvlJc w:val="left"/>
      <w:pPr>
        <w:ind w:left="2250" w:hanging="188"/>
      </w:pPr>
      <w:rPr>
        <w:rFonts w:hint="default"/>
      </w:rPr>
    </w:lvl>
  </w:abstractNum>
  <w:abstractNum w:abstractNumId="10" w15:restartNumberingAfterBreak="0">
    <w:nsid w:val="3D384E75"/>
    <w:multiLevelType w:val="hybridMultilevel"/>
    <w:tmpl w:val="A31E2208"/>
    <w:lvl w:ilvl="0" w:tplc="DF70680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0A366CB"/>
    <w:multiLevelType w:val="multilevel"/>
    <w:tmpl w:val="3FA2B720"/>
    <w:lvl w:ilvl="0">
      <w:start w:val="5"/>
      <w:numFmt w:val="decimal"/>
      <w:lvlText w:val="%1."/>
      <w:lvlJc w:val="left"/>
      <w:pPr>
        <w:ind w:left="390" w:hanging="389"/>
      </w:pPr>
      <w:rPr>
        <w:rFonts w:hint="default"/>
      </w:rPr>
    </w:lvl>
    <w:lvl w:ilvl="1">
      <w:start w:val="1"/>
      <w:numFmt w:val="decimal"/>
      <w:lvlText w:val="%1.%2."/>
      <w:lvlJc w:val="left"/>
      <w:pPr>
        <w:ind w:left="720" w:hanging="719"/>
      </w:pPr>
      <w:rPr>
        <w:rFonts w:hint="default"/>
      </w:rPr>
    </w:lvl>
    <w:lvl w:ilvl="2">
      <w:start w:val="1"/>
      <w:numFmt w:val="decimal"/>
      <w:lvlText w:val="%1.%2.%3."/>
      <w:lvlJc w:val="left"/>
      <w:pPr>
        <w:ind w:left="720" w:hanging="719"/>
      </w:pPr>
      <w:rPr>
        <w:rFonts w:hint="default"/>
      </w:rPr>
    </w:lvl>
    <w:lvl w:ilvl="3">
      <w:start w:val="1"/>
      <w:numFmt w:val="decimalZero"/>
      <w:lvlText w:val="%1.%2.%3.%4."/>
      <w:lvlJc w:val="left"/>
      <w:pPr>
        <w:ind w:left="1080" w:hanging="1079"/>
      </w:pPr>
      <w:rPr>
        <w:rFonts w:hint="default"/>
      </w:rPr>
    </w:lvl>
    <w:lvl w:ilvl="4">
      <w:start w:val="1"/>
      <w:numFmt w:val="decimalZero"/>
      <w:lvlText w:val="%1.%2.%3.%4.%5."/>
      <w:lvlJc w:val="left"/>
      <w:pPr>
        <w:ind w:left="1080" w:hanging="1079"/>
      </w:pPr>
      <w:rPr>
        <w:rFonts w:hint="default"/>
      </w:rPr>
    </w:lvl>
    <w:lvl w:ilvl="5">
      <w:start w:val="1"/>
      <w:numFmt w:val="decimal"/>
      <w:lvlText w:val="%1.%2.%3.%4.%5.%6."/>
      <w:lvlJc w:val="left"/>
      <w:pPr>
        <w:ind w:left="1440" w:hanging="1439"/>
      </w:pPr>
      <w:rPr>
        <w:rFonts w:hint="default"/>
      </w:rPr>
    </w:lvl>
    <w:lvl w:ilvl="6">
      <w:start w:val="1"/>
      <w:numFmt w:val="decimal"/>
      <w:lvlText w:val="%1.%2.%3.%4.%5.%6.%7."/>
      <w:lvlJc w:val="left"/>
      <w:pPr>
        <w:ind w:left="1440" w:hanging="1439"/>
      </w:pPr>
      <w:rPr>
        <w:rFonts w:hint="default"/>
      </w:rPr>
    </w:lvl>
    <w:lvl w:ilvl="7">
      <w:start w:val="1"/>
      <w:numFmt w:val="decimal"/>
      <w:lvlText w:val="%1.%2.%3.%4.%5.%6.%7.%8."/>
      <w:lvlJc w:val="left"/>
      <w:pPr>
        <w:ind w:left="1800" w:hanging="1799"/>
      </w:pPr>
      <w:rPr>
        <w:rFonts w:hint="default"/>
      </w:rPr>
    </w:lvl>
    <w:lvl w:ilvl="8">
      <w:start w:val="1"/>
      <w:numFmt w:val="decimal"/>
      <w:lvlText w:val="%1.%2.%3.%4.%5.%6.%7.%8.%9."/>
      <w:lvlJc w:val="left"/>
      <w:pPr>
        <w:ind w:left="2160" w:hanging="2159"/>
      </w:pPr>
      <w:rPr>
        <w:rFonts w:hint="default"/>
      </w:rPr>
    </w:lvl>
  </w:abstractNum>
  <w:abstractNum w:abstractNumId="12" w15:restartNumberingAfterBreak="0">
    <w:nsid w:val="479C76DF"/>
    <w:multiLevelType w:val="hybridMultilevel"/>
    <w:tmpl w:val="57B40EBE"/>
    <w:lvl w:ilvl="0" w:tplc="10C234AE">
      <w:start w:val="1"/>
      <w:numFmt w:val="bullet"/>
      <w:lvlText w:val=""/>
      <w:lvlJc w:val="left"/>
      <w:pPr>
        <w:ind w:left="268" w:hanging="166"/>
      </w:pPr>
      <w:rPr>
        <w:rFonts w:ascii="Symbol" w:eastAsia="Symbol" w:hAnsi="Symbol" w:hint="default"/>
        <w:w w:val="99"/>
        <w:sz w:val="20"/>
        <w:szCs w:val="20"/>
      </w:rPr>
    </w:lvl>
    <w:lvl w:ilvl="1" w:tplc="79A40AAE">
      <w:start w:val="1"/>
      <w:numFmt w:val="bullet"/>
      <w:lvlText w:val="•"/>
      <w:lvlJc w:val="left"/>
      <w:pPr>
        <w:ind w:left="498" w:hanging="166"/>
      </w:pPr>
      <w:rPr>
        <w:rFonts w:hint="default"/>
      </w:rPr>
    </w:lvl>
    <w:lvl w:ilvl="2" w:tplc="EF728146">
      <w:start w:val="1"/>
      <w:numFmt w:val="bullet"/>
      <w:lvlText w:val="•"/>
      <w:lvlJc w:val="left"/>
      <w:pPr>
        <w:ind w:left="737" w:hanging="166"/>
      </w:pPr>
      <w:rPr>
        <w:rFonts w:hint="default"/>
      </w:rPr>
    </w:lvl>
    <w:lvl w:ilvl="3" w:tplc="EDB6F20E">
      <w:start w:val="1"/>
      <w:numFmt w:val="bullet"/>
      <w:lvlText w:val="•"/>
      <w:lvlJc w:val="left"/>
      <w:pPr>
        <w:ind w:left="975" w:hanging="166"/>
      </w:pPr>
      <w:rPr>
        <w:rFonts w:hint="default"/>
      </w:rPr>
    </w:lvl>
    <w:lvl w:ilvl="4" w:tplc="8BE8BC86">
      <w:start w:val="1"/>
      <w:numFmt w:val="bullet"/>
      <w:lvlText w:val="•"/>
      <w:lvlJc w:val="left"/>
      <w:pPr>
        <w:ind w:left="1214" w:hanging="166"/>
      </w:pPr>
      <w:rPr>
        <w:rFonts w:hint="default"/>
      </w:rPr>
    </w:lvl>
    <w:lvl w:ilvl="5" w:tplc="F7C4D4D0">
      <w:start w:val="1"/>
      <w:numFmt w:val="bullet"/>
      <w:lvlText w:val="•"/>
      <w:lvlJc w:val="left"/>
      <w:pPr>
        <w:ind w:left="1452" w:hanging="166"/>
      </w:pPr>
      <w:rPr>
        <w:rFonts w:hint="default"/>
      </w:rPr>
    </w:lvl>
    <w:lvl w:ilvl="6" w:tplc="C5A4AEDE">
      <w:start w:val="1"/>
      <w:numFmt w:val="bullet"/>
      <w:lvlText w:val="•"/>
      <w:lvlJc w:val="left"/>
      <w:pPr>
        <w:ind w:left="1691" w:hanging="166"/>
      </w:pPr>
      <w:rPr>
        <w:rFonts w:hint="default"/>
      </w:rPr>
    </w:lvl>
    <w:lvl w:ilvl="7" w:tplc="2CC28786">
      <w:start w:val="1"/>
      <w:numFmt w:val="bullet"/>
      <w:lvlText w:val="•"/>
      <w:lvlJc w:val="left"/>
      <w:pPr>
        <w:ind w:left="1930" w:hanging="166"/>
      </w:pPr>
      <w:rPr>
        <w:rFonts w:hint="default"/>
      </w:rPr>
    </w:lvl>
    <w:lvl w:ilvl="8" w:tplc="9988857C">
      <w:start w:val="1"/>
      <w:numFmt w:val="bullet"/>
      <w:lvlText w:val="•"/>
      <w:lvlJc w:val="left"/>
      <w:pPr>
        <w:ind w:left="2168" w:hanging="166"/>
      </w:pPr>
      <w:rPr>
        <w:rFonts w:hint="default"/>
      </w:rPr>
    </w:lvl>
  </w:abstractNum>
  <w:abstractNum w:abstractNumId="13" w15:restartNumberingAfterBreak="0">
    <w:nsid w:val="541616D9"/>
    <w:multiLevelType w:val="hybridMultilevel"/>
    <w:tmpl w:val="3426103C"/>
    <w:lvl w:ilvl="0" w:tplc="3C94458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445FEA"/>
    <w:multiLevelType w:val="hybridMultilevel"/>
    <w:tmpl w:val="BB9E2AA2"/>
    <w:lvl w:ilvl="0" w:tplc="E8A0E92A">
      <w:start w:val="1"/>
      <w:numFmt w:val="bullet"/>
      <w:lvlText w:val=""/>
      <w:lvlJc w:val="left"/>
      <w:pPr>
        <w:ind w:left="298" w:hanging="161"/>
      </w:pPr>
      <w:rPr>
        <w:rFonts w:ascii="Symbol" w:eastAsia="Symbol" w:hAnsi="Symbol" w:hint="default"/>
        <w:w w:val="99"/>
        <w:sz w:val="20"/>
        <w:szCs w:val="20"/>
      </w:rPr>
    </w:lvl>
    <w:lvl w:ilvl="1" w:tplc="722A5842">
      <w:start w:val="1"/>
      <w:numFmt w:val="bullet"/>
      <w:lvlText w:val="•"/>
      <w:lvlJc w:val="left"/>
      <w:pPr>
        <w:ind w:left="540" w:hanging="161"/>
      </w:pPr>
      <w:rPr>
        <w:rFonts w:hint="default"/>
      </w:rPr>
    </w:lvl>
    <w:lvl w:ilvl="2" w:tplc="51D01DB6">
      <w:start w:val="1"/>
      <w:numFmt w:val="bullet"/>
      <w:lvlText w:val="•"/>
      <w:lvlJc w:val="left"/>
      <w:pPr>
        <w:ind w:left="781" w:hanging="161"/>
      </w:pPr>
      <w:rPr>
        <w:rFonts w:hint="default"/>
      </w:rPr>
    </w:lvl>
    <w:lvl w:ilvl="3" w:tplc="1B74A02A">
      <w:start w:val="1"/>
      <w:numFmt w:val="bullet"/>
      <w:lvlText w:val="•"/>
      <w:lvlJc w:val="left"/>
      <w:pPr>
        <w:ind w:left="1021" w:hanging="161"/>
      </w:pPr>
      <w:rPr>
        <w:rFonts w:hint="default"/>
      </w:rPr>
    </w:lvl>
    <w:lvl w:ilvl="4" w:tplc="EFF645CE">
      <w:start w:val="1"/>
      <w:numFmt w:val="bullet"/>
      <w:lvlText w:val="•"/>
      <w:lvlJc w:val="left"/>
      <w:pPr>
        <w:ind w:left="1262" w:hanging="161"/>
      </w:pPr>
      <w:rPr>
        <w:rFonts w:hint="default"/>
      </w:rPr>
    </w:lvl>
    <w:lvl w:ilvl="5" w:tplc="677A14FE">
      <w:start w:val="1"/>
      <w:numFmt w:val="bullet"/>
      <w:lvlText w:val="•"/>
      <w:lvlJc w:val="left"/>
      <w:pPr>
        <w:ind w:left="1503" w:hanging="161"/>
      </w:pPr>
      <w:rPr>
        <w:rFonts w:hint="default"/>
      </w:rPr>
    </w:lvl>
    <w:lvl w:ilvl="6" w:tplc="B158EB7A">
      <w:start w:val="1"/>
      <w:numFmt w:val="bullet"/>
      <w:lvlText w:val="•"/>
      <w:lvlJc w:val="left"/>
      <w:pPr>
        <w:ind w:left="1743" w:hanging="161"/>
      </w:pPr>
      <w:rPr>
        <w:rFonts w:hint="default"/>
      </w:rPr>
    </w:lvl>
    <w:lvl w:ilvl="7" w:tplc="30383F4E">
      <w:start w:val="1"/>
      <w:numFmt w:val="bullet"/>
      <w:lvlText w:val="•"/>
      <w:lvlJc w:val="left"/>
      <w:pPr>
        <w:ind w:left="1984" w:hanging="161"/>
      </w:pPr>
      <w:rPr>
        <w:rFonts w:hint="default"/>
      </w:rPr>
    </w:lvl>
    <w:lvl w:ilvl="8" w:tplc="1BF4DC7E">
      <w:start w:val="1"/>
      <w:numFmt w:val="bullet"/>
      <w:lvlText w:val="•"/>
      <w:lvlJc w:val="left"/>
      <w:pPr>
        <w:ind w:left="2225" w:hanging="161"/>
      </w:pPr>
      <w:rPr>
        <w:rFonts w:hint="default"/>
      </w:rPr>
    </w:lvl>
  </w:abstractNum>
  <w:abstractNum w:abstractNumId="15" w15:restartNumberingAfterBreak="0">
    <w:nsid w:val="6D471B07"/>
    <w:multiLevelType w:val="hybridMultilevel"/>
    <w:tmpl w:val="268639C2"/>
    <w:lvl w:ilvl="0" w:tplc="3A4A8130">
      <w:start w:val="1"/>
      <w:numFmt w:val="bullet"/>
      <w:lvlText w:val=""/>
      <w:lvlJc w:val="left"/>
      <w:pPr>
        <w:ind w:left="330" w:hanging="204"/>
      </w:pPr>
      <w:rPr>
        <w:rFonts w:ascii="Symbol" w:eastAsia="Symbol" w:hAnsi="Symbol" w:hint="default"/>
        <w:w w:val="99"/>
        <w:sz w:val="20"/>
        <w:szCs w:val="20"/>
      </w:rPr>
    </w:lvl>
    <w:lvl w:ilvl="1" w:tplc="8856D24A">
      <w:start w:val="1"/>
      <w:numFmt w:val="bullet"/>
      <w:lvlText w:val="•"/>
      <w:lvlJc w:val="left"/>
      <w:pPr>
        <w:ind w:left="558" w:hanging="204"/>
      </w:pPr>
      <w:rPr>
        <w:rFonts w:hint="default"/>
      </w:rPr>
    </w:lvl>
    <w:lvl w:ilvl="2" w:tplc="EBB664DE">
      <w:start w:val="1"/>
      <w:numFmt w:val="bullet"/>
      <w:lvlText w:val="•"/>
      <w:lvlJc w:val="left"/>
      <w:pPr>
        <w:ind w:left="797" w:hanging="204"/>
      </w:pPr>
      <w:rPr>
        <w:rFonts w:hint="default"/>
      </w:rPr>
    </w:lvl>
    <w:lvl w:ilvl="3" w:tplc="3618AE24">
      <w:start w:val="1"/>
      <w:numFmt w:val="bullet"/>
      <w:lvlText w:val="•"/>
      <w:lvlJc w:val="left"/>
      <w:pPr>
        <w:ind w:left="1035" w:hanging="204"/>
      </w:pPr>
      <w:rPr>
        <w:rFonts w:hint="default"/>
      </w:rPr>
    </w:lvl>
    <w:lvl w:ilvl="4" w:tplc="51DAB1C0">
      <w:start w:val="1"/>
      <w:numFmt w:val="bullet"/>
      <w:lvlText w:val="•"/>
      <w:lvlJc w:val="left"/>
      <w:pPr>
        <w:ind w:left="1274" w:hanging="204"/>
      </w:pPr>
      <w:rPr>
        <w:rFonts w:hint="default"/>
      </w:rPr>
    </w:lvl>
    <w:lvl w:ilvl="5" w:tplc="943C6120">
      <w:start w:val="1"/>
      <w:numFmt w:val="bullet"/>
      <w:lvlText w:val="•"/>
      <w:lvlJc w:val="left"/>
      <w:pPr>
        <w:ind w:left="1513" w:hanging="204"/>
      </w:pPr>
      <w:rPr>
        <w:rFonts w:hint="default"/>
      </w:rPr>
    </w:lvl>
    <w:lvl w:ilvl="6" w:tplc="6E0C57C6">
      <w:start w:val="1"/>
      <w:numFmt w:val="bullet"/>
      <w:lvlText w:val="•"/>
      <w:lvlJc w:val="left"/>
      <w:pPr>
        <w:ind w:left="1751" w:hanging="204"/>
      </w:pPr>
      <w:rPr>
        <w:rFonts w:hint="default"/>
      </w:rPr>
    </w:lvl>
    <w:lvl w:ilvl="7" w:tplc="990A8194">
      <w:start w:val="1"/>
      <w:numFmt w:val="bullet"/>
      <w:lvlText w:val="•"/>
      <w:lvlJc w:val="left"/>
      <w:pPr>
        <w:ind w:left="1990" w:hanging="204"/>
      </w:pPr>
      <w:rPr>
        <w:rFonts w:hint="default"/>
      </w:rPr>
    </w:lvl>
    <w:lvl w:ilvl="8" w:tplc="757C77A6">
      <w:start w:val="1"/>
      <w:numFmt w:val="bullet"/>
      <w:lvlText w:val="•"/>
      <w:lvlJc w:val="left"/>
      <w:pPr>
        <w:ind w:left="2229" w:hanging="204"/>
      </w:pPr>
      <w:rPr>
        <w:rFonts w:hint="default"/>
      </w:rPr>
    </w:lvl>
  </w:abstractNum>
  <w:abstractNum w:abstractNumId="16" w15:restartNumberingAfterBreak="0">
    <w:nsid w:val="71690693"/>
    <w:multiLevelType w:val="multilevel"/>
    <w:tmpl w:val="D2F219BC"/>
    <w:lvl w:ilvl="0">
      <w:start w:val="1"/>
      <w:numFmt w:val="bullet"/>
      <w:lvlText w:val=""/>
      <w:lvlJc w:val="left"/>
      <w:pPr>
        <w:tabs>
          <w:tab w:val="num" w:pos="720"/>
        </w:tabs>
        <w:ind w:left="720" w:hanging="360"/>
      </w:pPr>
      <w:rPr>
        <w:rFonts w:ascii="Wingdings" w:hAnsi="Wingding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D6EF4"/>
    <w:multiLevelType w:val="hybridMultilevel"/>
    <w:tmpl w:val="87BCC236"/>
    <w:lvl w:ilvl="0" w:tplc="E4288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9602402"/>
    <w:multiLevelType w:val="hybridMultilevel"/>
    <w:tmpl w:val="A61ACAFC"/>
    <w:lvl w:ilvl="0" w:tplc="B7A0E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FBD3CA8"/>
    <w:multiLevelType w:val="hybridMultilevel"/>
    <w:tmpl w:val="70EA2952"/>
    <w:lvl w:ilvl="0" w:tplc="B2BECD50">
      <w:start w:val="1"/>
      <w:numFmt w:val="bullet"/>
      <w:lvlText w:val=""/>
      <w:lvlJc w:val="left"/>
      <w:pPr>
        <w:ind w:left="316" w:hanging="216"/>
      </w:pPr>
      <w:rPr>
        <w:rFonts w:ascii="Symbol" w:eastAsia="Symbol" w:hAnsi="Symbol" w:hint="default"/>
        <w:w w:val="99"/>
        <w:sz w:val="20"/>
        <w:szCs w:val="20"/>
      </w:rPr>
    </w:lvl>
    <w:lvl w:ilvl="1" w:tplc="08AADD40">
      <w:start w:val="1"/>
      <w:numFmt w:val="bullet"/>
      <w:lvlText w:val="•"/>
      <w:lvlJc w:val="left"/>
      <w:pPr>
        <w:ind w:left="561" w:hanging="216"/>
      </w:pPr>
      <w:rPr>
        <w:rFonts w:hint="default"/>
      </w:rPr>
    </w:lvl>
    <w:lvl w:ilvl="2" w:tplc="9DEC0810">
      <w:start w:val="1"/>
      <w:numFmt w:val="bullet"/>
      <w:lvlText w:val="•"/>
      <w:lvlJc w:val="left"/>
      <w:pPr>
        <w:ind w:left="802" w:hanging="216"/>
      </w:pPr>
      <w:rPr>
        <w:rFonts w:hint="default"/>
      </w:rPr>
    </w:lvl>
    <w:lvl w:ilvl="3" w:tplc="976C714C">
      <w:start w:val="1"/>
      <w:numFmt w:val="bullet"/>
      <w:lvlText w:val="•"/>
      <w:lvlJc w:val="left"/>
      <w:pPr>
        <w:ind w:left="1043" w:hanging="216"/>
      </w:pPr>
      <w:rPr>
        <w:rFonts w:hint="default"/>
      </w:rPr>
    </w:lvl>
    <w:lvl w:ilvl="4" w:tplc="F942FDCA">
      <w:start w:val="1"/>
      <w:numFmt w:val="bullet"/>
      <w:lvlText w:val="•"/>
      <w:lvlJc w:val="left"/>
      <w:pPr>
        <w:ind w:left="1285" w:hanging="216"/>
      </w:pPr>
      <w:rPr>
        <w:rFonts w:hint="default"/>
      </w:rPr>
    </w:lvl>
    <w:lvl w:ilvl="5" w:tplc="CE680D56">
      <w:start w:val="1"/>
      <w:numFmt w:val="bullet"/>
      <w:lvlText w:val="•"/>
      <w:lvlJc w:val="left"/>
      <w:pPr>
        <w:ind w:left="1526" w:hanging="216"/>
      </w:pPr>
      <w:rPr>
        <w:rFonts w:hint="default"/>
      </w:rPr>
    </w:lvl>
    <w:lvl w:ilvl="6" w:tplc="177EBD1C">
      <w:start w:val="1"/>
      <w:numFmt w:val="bullet"/>
      <w:lvlText w:val="•"/>
      <w:lvlJc w:val="left"/>
      <w:pPr>
        <w:ind w:left="1767" w:hanging="216"/>
      </w:pPr>
      <w:rPr>
        <w:rFonts w:hint="default"/>
      </w:rPr>
    </w:lvl>
    <w:lvl w:ilvl="7" w:tplc="608C3156">
      <w:start w:val="1"/>
      <w:numFmt w:val="bullet"/>
      <w:lvlText w:val="•"/>
      <w:lvlJc w:val="left"/>
      <w:pPr>
        <w:ind w:left="2009" w:hanging="216"/>
      </w:pPr>
      <w:rPr>
        <w:rFonts w:hint="default"/>
      </w:rPr>
    </w:lvl>
    <w:lvl w:ilvl="8" w:tplc="2668B858">
      <w:start w:val="1"/>
      <w:numFmt w:val="bullet"/>
      <w:lvlText w:val="•"/>
      <w:lvlJc w:val="left"/>
      <w:pPr>
        <w:ind w:left="2250" w:hanging="216"/>
      </w:pPr>
      <w:rPr>
        <w:rFonts w:hint="default"/>
      </w:rPr>
    </w:lvl>
  </w:abstractNum>
  <w:num w:numId="1">
    <w:abstractNumId w:val="6"/>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9"/>
  </w:num>
  <w:num w:numId="7">
    <w:abstractNumId w:val="5"/>
  </w:num>
  <w:num w:numId="8">
    <w:abstractNumId w:val="2"/>
  </w:num>
  <w:num w:numId="9">
    <w:abstractNumId w:val="7"/>
  </w:num>
  <w:num w:numId="10">
    <w:abstractNumId w:val="14"/>
  </w:num>
  <w:num w:numId="11">
    <w:abstractNumId w:val="4"/>
  </w:num>
  <w:num w:numId="12">
    <w:abstractNumId w:val="19"/>
  </w:num>
  <w:num w:numId="13">
    <w:abstractNumId w:val="0"/>
  </w:num>
  <w:num w:numId="14">
    <w:abstractNumId w:val="18"/>
  </w:num>
  <w:num w:numId="15">
    <w:abstractNumId w:val="10"/>
  </w:num>
  <w:num w:numId="16">
    <w:abstractNumId w:val="17"/>
  </w:num>
  <w:num w:numId="17">
    <w:abstractNumId w:val="1"/>
  </w:num>
  <w:num w:numId="18">
    <w:abstractNumId w:val="3"/>
  </w:num>
  <w:num w:numId="19">
    <w:abstractNumId w:val="11"/>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57"/>
    <w:rsid w:val="000223E3"/>
    <w:rsid w:val="00023EF6"/>
    <w:rsid w:val="00025532"/>
    <w:rsid w:val="00044B42"/>
    <w:rsid w:val="00054F91"/>
    <w:rsid w:val="00064B6C"/>
    <w:rsid w:val="00072A0F"/>
    <w:rsid w:val="00082614"/>
    <w:rsid w:val="00094BE1"/>
    <w:rsid w:val="0009724A"/>
    <w:rsid w:val="000B5D17"/>
    <w:rsid w:val="000D2721"/>
    <w:rsid w:val="000D2EA1"/>
    <w:rsid w:val="000E4D67"/>
    <w:rsid w:val="000E6ABE"/>
    <w:rsid w:val="000F03E5"/>
    <w:rsid w:val="000F76B6"/>
    <w:rsid w:val="0010551F"/>
    <w:rsid w:val="001125BB"/>
    <w:rsid w:val="001129AF"/>
    <w:rsid w:val="00114E57"/>
    <w:rsid w:val="00120C54"/>
    <w:rsid w:val="001212CF"/>
    <w:rsid w:val="00127630"/>
    <w:rsid w:val="00135D72"/>
    <w:rsid w:val="00142B36"/>
    <w:rsid w:val="00150F39"/>
    <w:rsid w:val="00151EE4"/>
    <w:rsid w:val="00160BED"/>
    <w:rsid w:val="001759C4"/>
    <w:rsid w:val="00193728"/>
    <w:rsid w:val="001A784B"/>
    <w:rsid w:val="001C4BC1"/>
    <w:rsid w:val="001C67F0"/>
    <w:rsid w:val="001D718C"/>
    <w:rsid w:val="001F2435"/>
    <w:rsid w:val="001F2864"/>
    <w:rsid w:val="00212593"/>
    <w:rsid w:val="0021408D"/>
    <w:rsid w:val="00245A3F"/>
    <w:rsid w:val="00246918"/>
    <w:rsid w:val="002501CC"/>
    <w:rsid w:val="002502B7"/>
    <w:rsid w:val="0025469E"/>
    <w:rsid w:val="00272D0E"/>
    <w:rsid w:val="00273A24"/>
    <w:rsid w:val="00286CC9"/>
    <w:rsid w:val="00292A2E"/>
    <w:rsid w:val="002B5E2C"/>
    <w:rsid w:val="002C5D60"/>
    <w:rsid w:val="002C5DBC"/>
    <w:rsid w:val="00334E8A"/>
    <w:rsid w:val="00342FCB"/>
    <w:rsid w:val="00350718"/>
    <w:rsid w:val="00372EC9"/>
    <w:rsid w:val="00374AB5"/>
    <w:rsid w:val="00391980"/>
    <w:rsid w:val="003941EE"/>
    <w:rsid w:val="0039598F"/>
    <w:rsid w:val="003A1041"/>
    <w:rsid w:val="003B1840"/>
    <w:rsid w:val="003B206B"/>
    <w:rsid w:val="003B21DC"/>
    <w:rsid w:val="003C362D"/>
    <w:rsid w:val="003C7157"/>
    <w:rsid w:val="003D101A"/>
    <w:rsid w:val="003D782A"/>
    <w:rsid w:val="003F00D5"/>
    <w:rsid w:val="003F135F"/>
    <w:rsid w:val="003F13AD"/>
    <w:rsid w:val="00401083"/>
    <w:rsid w:val="00413B85"/>
    <w:rsid w:val="00427720"/>
    <w:rsid w:val="004508CD"/>
    <w:rsid w:val="00470E7D"/>
    <w:rsid w:val="004722B7"/>
    <w:rsid w:val="00477066"/>
    <w:rsid w:val="0049465C"/>
    <w:rsid w:val="004A019D"/>
    <w:rsid w:val="004A4B1B"/>
    <w:rsid w:val="004A4BE4"/>
    <w:rsid w:val="004A4CB8"/>
    <w:rsid w:val="004A4EA4"/>
    <w:rsid w:val="004B5EE2"/>
    <w:rsid w:val="004B62CE"/>
    <w:rsid w:val="004B7BD2"/>
    <w:rsid w:val="004C2B73"/>
    <w:rsid w:val="004D78E9"/>
    <w:rsid w:val="004E752A"/>
    <w:rsid w:val="004F4247"/>
    <w:rsid w:val="00506D95"/>
    <w:rsid w:val="0053658B"/>
    <w:rsid w:val="00542DDA"/>
    <w:rsid w:val="0058087D"/>
    <w:rsid w:val="005A70F8"/>
    <w:rsid w:val="005B3799"/>
    <w:rsid w:val="005B7DA7"/>
    <w:rsid w:val="005C3368"/>
    <w:rsid w:val="005C6F7B"/>
    <w:rsid w:val="005D3D1F"/>
    <w:rsid w:val="005F197C"/>
    <w:rsid w:val="00603727"/>
    <w:rsid w:val="0060522B"/>
    <w:rsid w:val="0061477D"/>
    <w:rsid w:val="00621482"/>
    <w:rsid w:val="0063264A"/>
    <w:rsid w:val="0064262F"/>
    <w:rsid w:val="00645973"/>
    <w:rsid w:val="00653152"/>
    <w:rsid w:val="00653831"/>
    <w:rsid w:val="006560AD"/>
    <w:rsid w:val="006600F2"/>
    <w:rsid w:val="00661E04"/>
    <w:rsid w:val="006717EE"/>
    <w:rsid w:val="00680F63"/>
    <w:rsid w:val="006824B8"/>
    <w:rsid w:val="00687E01"/>
    <w:rsid w:val="006944A4"/>
    <w:rsid w:val="0069527C"/>
    <w:rsid w:val="00696078"/>
    <w:rsid w:val="006C30C0"/>
    <w:rsid w:val="006C70C5"/>
    <w:rsid w:val="006D390A"/>
    <w:rsid w:val="006D696B"/>
    <w:rsid w:val="006E16D6"/>
    <w:rsid w:val="00703755"/>
    <w:rsid w:val="0070423B"/>
    <w:rsid w:val="00726031"/>
    <w:rsid w:val="007269AD"/>
    <w:rsid w:val="007452CE"/>
    <w:rsid w:val="00765D02"/>
    <w:rsid w:val="00782FBB"/>
    <w:rsid w:val="0078410F"/>
    <w:rsid w:val="007A2DBA"/>
    <w:rsid w:val="007E1310"/>
    <w:rsid w:val="007E3444"/>
    <w:rsid w:val="007E3AA7"/>
    <w:rsid w:val="007F1145"/>
    <w:rsid w:val="007F42AC"/>
    <w:rsid w:val="0080538B"/>
    <w:rsid w:val="00807B64"/>
    <w:rsid w:val="00824464"/>
    <w:rsid w:val="00840142"/>
    <w:rsid w:val="00870307"/>
    <w:rsid w:val="00877EF1"/>
    <w:rsid w:val="008B0B91"/>
    <w:rsid w:val="008B1CCE"/>
    <w:rsid w:val="008B401D"/>
    <w:rsid w:val="008E5EFF"/>
    <w:rsid w:val="008F6935"/>
    <w:rsid w:val="009038D6"/>
    <w:rsid w:val="00917196"/>
    <w:rsid w:val="00932C66"/>
    <w:rsid w:val="009450D5"/>
    <w:rsid w:val="00954DD9"/>
    <w:rsid w:val="009804BD"/>
    <w:rsid w:val="00997715"/>
    <w:rsid w:val="009A20E6"/>
    <w:rsid w:val="009A2D70"/>
    <w:rsid w:val="009B2F24"/>
    <w:rsid w:val="009D76A0"/>
    <w:rsid w:val="009F030F"/>
    <w:rsid w:val="009F6350"/>
    <w:rsid w:val="00A031ED"/>
    <w:rsid w:val="00A0452D"/>
    <w:rsid w:val="00A0660E"/>
    <w:rsid w:val="00A17439"/>
    <w:rsid w:val="00A274D4"/>
    <w:rsid w:val="00A27FD0"/>
    <w:rsid w:val="00A41C5B"/>
    <w:rsid w:val="00A47BEA"/>
    <w:rsid w:val="00A56094"/>
    <w:rsid w:val="00A61154"/>
    <w:rsid w:val="00A6290F"/>
    <w:rsid w:val="00A80783"/>
    <w:rsid w:val="00A92C6B"/>
    <w:rsid w:val="00AA1A1B"/>
    <w:rsid w:val="00AB0153"/>
    <w:rsid w:val="00B15E7D"/>
    <w:rsid w:val="00B1769B"/>
    <w:rsid w:val="00B32080"/>
    <w:rsid w:val="00B50EE4"/>
    <w:rsid w:val="00B52314"/>
    <w:rsid w:val="00B543DF"/>
    <w:rsid w:val="00B55CF6"/>
    <w:rsid w:val="00B57BCA"/>
    <w:rsid w:val="00B62EF2"/>
    <w:rsid w:val="00B6398E"/>
    <w:rsid w:val="00B82A49"/>
    <w:rsid w:val="00BA1CFC"/>
    <w:rsid w:val="00BA66C0"/>
    <w:rsid w:val="00BC2DB2"/>
    <w:rsid w:val="00BC5E87"/>
    <w:rsid w:val="00BC65AF"/>
    <w:rsid w:val="00BE1F24"/>
    <w:rsid w:val="00BF42C6"/>
    <w:rsid w:val="00C17590"/>
    <w:rsid w:val="00C22484"/>
    <w:rsid w:val="00C26628"/>
    <w:rsid w:val="00C26C9B"/>
    <w:rsid w:val="00C35FF3"/>
    <w:rsid w:val="00C53BAA"/>
    <w:rsid w:val="00C571E1"/>
    <w:rsid w:val="00C61FC7"/>
    <w:rsid w:val="00C701E9"/>
    <w:rsid w:val="00C77D58"/>
    <w:rsid w:val="00C97497"/>
    <w:rsid w:val="00C976C9"/>
    <w:rsid w:val="00CB3D7F"/>
    <w:rsid w:val="00CC0D60"/>
    <w:rsid w:val="00CC1CDA"/>
    <w:rsid w:val="00CE25CB"/>
    <w:rsid w:val="00CE2D51"/>
    <w:rsid w:val="00D01BFE"/>
    <w:rsid w:val="00D145AD"/>
    <w:rsid w:val="00D2746B"/>
    <w:rsid w:val="00D34F86"/>
    <w:rsid w:val="00D3541E"/>
    <w:rsid w:val="00D65B8E"/>
    <w:rsid w:val="00D725FD"/>
    <w:rsid w:val="00D77972"/>
    <w:rsid w:val="00D87B80"/>
    <w:rsid w:val="00D97377"/>
    <w:rsid w:val="00DA7153"/>
    <w:rsid w:val="00DB0C2A"/>
    <w:rsid w:val="00DB560E"/>
    <w:rsid w:val="00DB75BB"/>
    <w:rsid w:val="00E12D1D"/>
    <w:rsid w:val="00E13A64"/>
    <w:rsid w:val="00E1767F"/>
    <w:rsid w:val="00E24A32"/>
    <w:rsid w:val="00E307DF"/>
    <w:rsid w:val="00E32EEB"/>
    <w:rsid w:val="00E349B9"/>
    <w:rsid w:val="00E3674F"/>
    <w:rsid w:val="00E41B0C"/>
    <w:rsid w:val="00E55C89"/>
    <w:rsid w:val="00E657D5"/>
    <w:rsid w:val="00E776FC"/>
    <w:rsid w:val="00E865BD"/>
    <w:rsid w:val="00E87DD6"/>
    <w:rsid w:val="00E92E5F"/>
    <w:rsid w:val="00E96BC5"/>
    <w:rsid w:val="00EA3FB8"/>
    <w:rsid w:val="00EC14DB"/>
    <w:rsid w:val="00EC3D54"/>
    <w:rsid w:val="00EC4DC0"/>
    <w:rsid w:val="00ED119F"/>
    <w:rsid w:val="00EE37F6"/>
    <w:rsid w:val="00EF22AF"/>
    <w:rsid w:val="00F345EC"/>
    <w:rsid w:val="00F40C5B"/>
    <w:rsid w:val="00F47E76"/>
    <w:rsid w:val="00F5399D"/>
    <w:rsid w:val="00F55E8D"/>
    <w:rsid w:val="00F65852"/>
    <w:rsid w:val="00F6643F"/>
    <w:rsid w:val="00F814A0"/>
    <w:rsid w:val="00F95A49"/>
    <w:rsid w:val="00FA36F1"/>
    <w:rsid w:val="00FA607C"/>
    <w:rsid w:val="00FB04D1"/>
    <w:rsid w:val="00FC1012"/>
    <w:rsid w:val="00FC62E1"/>
    <w:rsid w:val="00FD605D"/>
    <w:rsid w:val="00FE4B3D"/>
    <w:rsid w:val="00FF3E6B"/>
    <w:rsid w:val="00FF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081087-F92B-495C-881F-90956AD8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727"/>
    <w:pPr>
      <w:spacing w:after="0" w:line="240" w:lineRule="auto"/>
      <w:ind w:firstLine="567"/>
    </w:pPr>
    <w:rPr>
      <w:rFonts w:ascii="Times New Roman" w:hAnsi="Times New Roman"/>
      <w:sz w:val="24"/>
    </w:rPr>
  </w:style>
  <w:style w:type="paragraph" w:styleId="1">
    <w:name w:val="heading 1"/>
    <w:basedOn w:val="a"/>
    <w:next w:val="a"/>
    <w:link w:val="10"/>
    <w:uiPriority w:val="9"/>
    <w:qFormat/>
    <w:rsid w:val="004B5EE2"/>
    <w:pPr>
      <w:keepNext/>
      <w:keepLines/>
      <w:spacing w:before="240"/>
      <w:outlineLvl w:val="0"/>
    </w:pPr>
    <w:rPr>
      <w:rFonts w:asciiTheme="majorHAnsi" w:eastAsiaTheme="majorEastAsia" w:hAnsiTheme="majorHAnsi" w:cstheme="majorBidi"/>
      <w:color w:val="2F5496" w:themeColor="accent1" w:themeShade="BF"/>
      <w:szCs w:val="24"/>
    </w:rPr>
  </w:style>
  <w:style w:type="paragraph" w:styleId="3">
    <w:name w:val="heading 3"/>
    <w:basedOn w:val="a"/>
    <w:next w:val="a"/>
    <w:link w:val="30"/>
    <w:uiPriority w:val="9"/>
    <w:semiHidden/>
    <w:unhideWhenUsed/>
    <w:qFormat/>
    <w:rsid w:val="003B206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00F2"/>
    <w:rPr>
      <w:rFonts w:ascii="Segoe UI" w:hAnsi="Segoe UI" w:cs="Segoe UI"/>
      <w:sz w:val="18"/>
      <w:szCs w:val="18"/>
    </w:rPr>
  </w:style>
  <w:style w:type="character" w:customStyle="1" w:styleId="a5">
    <w:name w:val="Текст выноски Знак"/>
    <w:basedOn w:val="a0"/>
    <w:link w:val="a4"/>
    <w:uiPriority w:val="99"/>
    <w:semiHidden/>
    <w:rsid w:val="006600F2"/>
    <w:rPr>
      <w:rFonts w:ascii="Segoe UI" w:hAnsi="Segoe UI" w:cs="Segoe UI"/>
      <w:sz w:val="18"/>
      <w:szCs w:val="18"/>
    </w:rPr>
  </w:style>
  <w:style w:type="paragraph" w:styleId="a6">
    <w:name w:val="Normal (Web)"/>
    <w:basedOn w:val="a"/>
    <w:uiPriority w:val="99"/>
    <w:semiHidden/>
    <w:unhideWhenUsed/>
    <w:rsid w:val="003D782A"/>
    <w:pPr>
      <w:spacing w:before="100" w:beforeAutospacing="1" w:after="100" w:afterAutospacing="1"/>
      <w:ind w:firstLine="0"/>
    </w:pPr>
    <w:rPr>
      <w:rFonts w:eastAsia="Times New Roman" w:cs="Times New Roman"/>
      <w:szCs w:val="24"/>
      <w:lang w:eastAsia="ru-RU"/>
    </w:rPr>
  </w:style>
  <w:style w:type="paragraph" w:styleId="a7">
    <w:name w:val="footnote text"/>
    <w:basedOn w:val="a"/>
    <w:link w:val="a8"/>
    <w:uiPriority w:val="99"/>
    <w:semiHidden/>
    <w:unhideWhenUsed/>
    <w:rsid w:val="003B21DC"/>
    <w:rPr>
      <w:sz w:val="20"/>
      <w:szCs w:val="20"/>
    </w:rPr>
  </w:style>
  <w:style w:type="character" w:customStyle="1" w:styleId="a8">
    <w:name w:val="Текст сноски Знак"/>
    <w:basedOn w:val="a0"/>
    <w:link w:val="a7"/>
    <w:uiPriority w:val="99"/>
    <w:semiHidden/>
    <w:rsid w:val="003B21DC"/>
    <w:rPr>
      <w:rFonts w:ascii="Times New Roman" w:hAnsi="Times New Roman"/>
      <w:sz w:val="20"/>
      <w:szCs w:val="20"/>
    </w:rPr>
  </w:style>
  <w:style w:type="character" w:styleId="a9">
    <w:name w:val="footnote reference"/>
    <w:basedOn w:val="a0"/>
    <w:uiPriority w:val="99"/>
    <w:semiHidden/>
    <w:unhideWhenUsed/>
    <w:rsid w:val="003B21DC"/>
    <w:rPr>
      <w:vertAlign w:val="superscript"/>
    </w:rPr>
  </w:style>
  <w:style w:type="character" w:styleId="aa">
    <w:name w:val="Hyperlink"/>
    <w:basedOn w:val="a0"/>
    <w:uiPriority w:val="99"/>
    <w:unhideWhenUsed/>
    <w:rsid w:val="000F76B6"/>
    <w:rPr>
      <w:color w:val="0000FF"/>
      <w:u w:val="single"/>
    </w:rPr>
  </w:style>
  <w:style w:type="character" w:customStyle="1" w:styleId="s1">
    <w:name w:val="s1"/>
    <w:rsid w:val="004B5EE2"/>
    <w:rPr>
      <w:rFonts w:ascii="Times New Roman" w:hAnsi="Times New Roman" w:cs="Times New Roman" w:hint="default"/>
      <w:b/>
      <w:bCs/>
      <w:color w:val="000000"/>
    </w:rPr>
  </w:style>
  <w:style w:type="character" w:customStyle="1" w:styleId="10">
    <w:name w:val="Заголовок 1 Знак"/>
    <w:basedOn w:val="a0"/>
    <w:link w:val="1"/>
    <w:uiPriority w:val="9"/>
    <w:rsid w:val="004B5EE2"/>
    <w:rPr>
      <w:rFonts w:asciiTheme="majorHAnsi" w:eastAsiaTheme="majorEastAsia" w:hAnsiTheme="majorHAnsi" w:cstheme="majorBidi"/>
      <w:color w:val="2F5496" w:themeColor="accent1" w:themeShade="BF"/>
      <w:sz w:val="24"/>
      <w:szCs w:val="24"/>
    </w:rPr>
  </w:style>
  <w:style w:type="paragraph" w:styleId="ab">
    <w:name w:val="List Paragraph"/>
    <w:aliases w:val="Абзац,маркированный,Абзац списка2,Bullets,References,List Paragraph (numbered (a)),NUMBERED PARAGRAPH,List Paragraph 1,List_Paragraph,Multilevel para_II,Akapit z listą BS,IBL List Paragraph,List Paragraph nowy,Numbered List Paragraph"/>
    <w:basedOn w:val="a"/>
    <w:link w:val="ac"/>
    <w:uiPriority w:val="99"/>
    <w:qFormat/>
    <w:rsid w:val="001D718C"/>
    <w:pPr>
      <w:spacing w:after="160" w:line="259" w:lineRule="auto"/>
      <w:ind w:left="720" w:firstLine="0"/>
      <w:contextualSpacing/>
    </w:pPr>
    <w:rPr>
      <w:rFonts w:asciiTheme="minorHAnsi" w:hAnsiTheme="minorHAnsi"/>
      <w:sz w:val="22"/>
    </w:rPr>
  </w:style>
  <w:style w:type="character" w:customStyle="1" w:styleId="ac">
    <w:name w:val="Абзац списка Знак"/>
    <w:aliases w:val="Абзац Знак,маркированный Знак,Абзац списка2 Знак,Bullets Знак,References Знак,List Paragraph (numbered (a)) Знак,NUMBERED PARAGRAPH Знак,List Paragraph 1 Знак,List_Paragraph Знак,Multilevel para_II Знак,Akapit z listą BS Знак"/>
    <w:link w:val="ab"/>
    <w:locked/>
    <w:rsid w:val="001D718C"/>
  </w:style>
  <w:style w:type="character" w:customStyle="1" w:styleId="11">
    <w:name w:val="Неразрешенное упоминание1"/>
    <w:basedOn w:val="a0"/>
    <w:uiPriority w:val="99"/>
    <w:semiHidden/>
    <w:unhideWhenUsed/>
    <w:rsid w:val="00807B64"/>
    <w:rPr>
      <w:color w:val="605E5C"/>
      <w:shd w:val="clear" w:color="auto" w:fill="E1DFDD"/>
    </w:rPr>
  </w:style>
  <w:style w:type="table" w:customStyle="1" w:styleId="TableNormal1">
    <w:name w:val="Table Normal1"/>
    <w:uiPriority w:val="2"/>
    <w:semiHidden/>
    <w:unhideWhenUsed/>
    <w:qFormat/>
    <w:rsid w:val="00807B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7B64"/>
    <w:pPr>
      <w:widowControl w:val="0"/>
      <w:ind w:firstLine="0"/>
    </w:pPr>
    <w:rPr>
      <w:rFonts w:asciiTheme="minorHAnsi" w:hAnsiTheme="minorHAnsi"/>
      <w:sz w:val="22"/>
      <w:lang w:val="en-US"/>
    </w:rPr>
  </w:style>
  <w:style w:type="character" w:customStyle="1" w:styleId="30">
    <w:name w:val="Заголовок 3 Знак"/>
    <w:basedOn w:val="a0"/>
    <w:link w:val="3"/>
    <w:uiPriority w:val="9"/>
    <w:semiHidden/>
    <w:rsid w:val="003B206B"/>
    <w:rPr>
      <w:rFonts w:asciiTheme="majorHAnsi" w:eastAsiaTheme="majorEastAsia" w:hAnsiTheme="majorHAnsi" w:cstheme="majorBidi"/>
      <w:color w:val="1F3763" w:themeColor="accent1" w:themeShade="7F"/>
      <w:sz w:val="24"/>
      <w:szCs w:val="24"/>
    </w:rPr>
  </w:style>
  <w:style w:type="paragraph" w:styleId="ad">
    <w:name w:val="TOC Heading"/>
    <w:basedOn w:val="1"/>
    <w:next w:val="a"/>
    <w:uiPriority w:val="39"/>
    <w:unhideWhenUsed/>
    <w:qFormat/>
    <w:rsid w:val="009B2F24"/>
    <w:pPr>
      <w:spacing w:line="259" w:lineRule="auto"/>
      <w:ind w:firstLine="0"/>
      <w:outlineLvl w:val="9"/>
    </w:pPr>
    <w:rPr>
      <w:sz w:val="32"/>
      <w:szCs w:val="32"/>
      <w:lang w:eastAsia="ru-RU"/>
    </w:rPr>
  </w:style>
  <w:style w:type="paragraph" w:styleId="12">
    <w:name w:val="toc 1"/>
    <w:basedOn w:val="a"/>
    <w:next w:val="a"/>
    <w:autoRedefine/>
    <w:uiPriority w:val="39"/>
    <w:unhideWhenUsed/>
    <w:rsid w:val="003C362D"/>
    <w:pPr>
      <w:tabs>
        <w:tab w:val="right" w:leader="dot" w:pos="9345"/>
      </w:tabs>
      <w:spacing w:after="100"/>
      <w:ind w:firstLine="0"/>
    </w:pPr>
  </w:style>
  <w:style w:type="paragraph" w:styleId="ae">
    <w:name w:val="header"/>
    <w:basedOn w:val="a"/>
    <w:link w:val="af"/>
    <w:uiPriority w:val="99"/>
    <w:unhideWhenUsed/>
    <w:rsid w:val="009B2F24"/>
    <w:pPr>
      <w:tabs>
        <w:tab w:val="center" w:pos="4677"/>
        <w:tab w:val="right" w:pos="9355"/>
      </w:tabs>
    </w:pPr>
  </w:style>
  <w:style w:type="character" w:customStyle="1" w:styleId="af">
    <w:name w:val="Верхний колонтитул Знак"/>
    <w:basedOn w:val="a0"/>
    <w:link w:val="ae"/>
    <w:uiPriority w:val="99"/>
    <w:rsid w:val="009B2F24"/>
    <w:rPr>
      <w:rFonts w:ascii="Times New Roman" w:hAnsi="Times New Roman"/>
      <w:sz w:val="24"/>
    </w:rPr>
  </w:style>
  <w:style w:type="paragraph" w:styleId="af0">
    <w:name w:val="footer"/>
    <w:basedOn w:val="a"/>
    <w:link w:val="af1"/>
    <w:uiPriority w:val="99"/>
    <w:unhideWhenUsed/>
    <w:rsid w:val="009B2F24"/>
    <w:pPr>
      <w:tabs>
        <w:tab w:val="center" w:pos="4677"/>
        <w:tab w:val="right" w:pos="9355"/>
      </w:tabs>
    </w:pPr>
  </w:style>
  <w:style w:type="character" w:customStyle="1" w:styleId="af1">
    <w:name w:val="Нижний колонтитул Знак"/>
    <w:basedOn w:val="a0"/>
    <w:link w:val="af0"/>
    <w:uiPriority w:val="99"/>
    <w:rsid w:val="009B2F24"/>
    <w:rPr>
      <w:rFonts w:ascii="Times New Roman" w:hAnsi="Times New Roman"/>
      <w:sz w:val="24"/>
    </w:rPr>
  </w:style>
  <w:style w:type="character" w:styleId="af2">
    <w:name w:val="annotation reference"/>
    <w:basedOn w:val="a0"/>
    <w:uiPriority w:val="99"/>
    <w:semiHidden/>
    <w:unhideWhenUsed/>
    <w:rsid w:val="004722B7"/>
    <w:rPr>
      <w:sz w:val="16"/>
      <w:szCs w:val="16"/>
    </w:rPr>
  </w:style>
  <w:style w:type="paragraph" w:styleId="af3">
    <w:name w:val="annotation text"/>
    <w:basedOn w:val="a"/>
    <w:link w:val="af4"/>
    <w:uiPriority w:val="99"/>
    <w:semiHidden/>
    <w:unhideWhenUsed/>
    <w:rsid w:val="004722B7"/>
    <w:rPr>
      <w:sz w:val="20"/>
      <w:szCs w:val="20"/>
    </w:rPr>
  </w:style>
  <w:style w:type="character" w:customStyle="1" w:styleId="af4">
    <w:name w:val="Текст примечания Знак"/>
    <w:basedOn w:val="a0"/>
    <w:link w:val="af3"/>
    <w:uiPriority w:val="99"/>
    <w:semiHidden/>
    <w:rsid w:val="004722B7"/>
    <w:rPr>
      <w:rFonts w:ascii="Times New Roman" w:hAnsi="Times New Roman"/>
      <w:sz w:val="20"/>
      <w:szCs w:val="20"/>
    </w:rPr>
  </w:style>
  <w:style w:type="paragraph" w:styleId="af5">
    <w:name w:val="annotation subject"/>
    <w:basedOn w:val="af3"/>
    <w:next w:val="af3"/>
    <w:link w:val="af6"/>
    <w:uiPriority w:val="99"/>
    <w:semiHidden/>
    <w:unhideWhenUsed/>
    <w:rsid w:val="004722B7"/>
    <w:rPr>
      <w:b/>
      <w:bCs/>
    </w:rPr>
  </w:style>
  <w:style w:type="character" w:customStyle="1" w:styleId="af6">
    <w:name w:val="Тема примечания Знак"/>
    <w:basedOn w:val="af4"/>
    <w:link w:val="af5"/>
    <w:uiPriority w:val="99"/>
    <w:semiHidden/>
    <w:rsid w:val="004722B7"/>
    <w:rPr>
      <w:rFonts w:ascii="Times New Roman" w:hAnsi="Times New Roman"/>
      <w:b/>
      <w:bCs/>
      <w:sz w:val="20"/>
      <w:szCs w:val="20"/>
    </w:rPr>
  </w:style>
  <w:style w:type="character" w:styleId="af7">
    <w:name w:val="Emphasis"/>
    <w:basedOn w:val="a0"/>
    <w:uiPriority w:val="20"/>
    <w:qFormat/>
    <w:rsid w:val="00334E8A"/>
    <w:rPr>
      <w:i/>
      <w:iCs/>
    </w:rPr>
  </w:style>
  <w:style w:type="character" w:styleId="af8">
    <w:name w:val="FollowedHyperlink"/>
    <w:basedOn w:val="a0"/>
    <w:uiPriority w:val="99"/>
    <w:semiHidden/>
    <w:unhideWhenUsed/>
    <w:rsid w:val="00E13A64"/>
    <w:rPr>
      <w:color w:val="954F72" w:themeColor="followedHyperlink"/>
      <w:u w:val="single"/>
    </w:rPr>
  </w:style>
  <w:style w:type="paragraph" w:styleId="af9">
    <w:name w:val="Revision"/>
    <w:hidden/>
    <w:uiPriority w:val="99"/>
    <w:semiHidden/>
    <w:rsid w:val="005C6F7B"/>
    <w:pPr>
      <w:spacing w:after="0" w:line="240" w:lineRule="auto"/>
    </w:pPr>
    <w:rPr>
      <w:rFonts w:ascii="Times New Roman" w:hAnsi="Times New Roman"/>
      <w:sz w:val="24"/>
    </w:rPr>
  </w:style>
  <w:style w:type="character" w:styleId="afa">
    <w:name w:val="Strong"/>
    <w:basedOn w:val="a0"/>
    <w:uiPriority w:val="22"/>
    <w:qFormat/>
    <w:rsid w:val="00870307"/>
    <w:rPr>
      <w:b/>
      <w:bCs/>
    </w:rPr>
  </w:style>
  <w:style w:type="table" w:customStyle="1" w:styleId="TableGrid">
    <w:name w:val="TableGrid"/>
    <w:rsid w:val="009D76A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008">
      <w:bodyDiv w:val="1"/>
      <w:marLeft w:val="0"/>
      <w:marRight w:val="0"/>
      <w:marTop w:val="0"/>
      <w:marBottom w:val="0"/>
      <w:divBdr>
        <w:top w:val="none" w:sz="0" w:space="0" w:color="auto"/>
        <w:left w:val="none" w:sz="0" w:space="0" w:color="auto"/>
        <w:bottom w:val="none" w:sz="0" w:space="0" w:color="auto"/>
        <w:right w:val="none" w:sz="0" w:space="0" w:color="auto"/>
      </w:divBdr>
    </w:div>
    <w:div w:id="148061868">
      <w:bodyDiv w:val="1"/>
      <w:marLeft w:val="0"/>
      <w:marRight w:val="0"/>
      <w:marTop w:val="0"/>
      <w:marBottom w:val="0"/>
      <w:divBdr>
        <w:top w:val="none" w:sz="0" w:space="0" w:color="auto"/>
        <w:left w:val="none" w:sz="0" w:space="0" w:color="auto"/>
        <w:bottom w:val="none" w:sz="0" w:space="0" w:color="auto"/>
        <w:right w:val="none" w:sz="0" w:space="0" w:color="auto"/>
      </w:divBdr>
    </w:div>
    <w:div w:id="161363130">
      <w:bodyDiv w:val="1"/>
      <w:marLeft w:val="0"/>
      <w:marRight w:val="0"/>
      <w:marTop w:val="0"/>
      <w:marBottom w:val="0"/>
      <w:divBdr>
        <w:top w:val="none" w:sz="0" w:space="0" w:color="auto"/>
        <w:left w:val="none" w:sz="0" w:space="0" w:color="auto"/>
        <w:bottom w:val="none" w:sz="0" w:space="0" w:color="auto"/>
        <w:right w:val="none" w:sz="0" w:space="0" w:color="auto"/>
      </w:divBdr>
    </w:div>
    <w:div w:id="347948272">
      <w:bodyDiv w:val="1"/>
      <w:marLeft w:val="0"/>
      <w:marRight w:val="0"/>
      <w:marTop w:val="0"/>
      <w:marBottom w:val="0"/>
      <w:divBdr>
        <w:top w:val="none" w:sz="0" w:space="0" w:color="auto"/>
        <w:left w:val="none" w:sz="0" w:space="0" w:color="auto"/>
        <w:bottom w:val="none" w:sz="0" w:space="0" w:color="auto"/>
        <w:right w:val="none" w:sz="0" w:space="0" w:color="auto"/>
      </w:divBdr>
    </w:div>
    <w:div w:id="392701099">
      <w:bodyDiv w:val="1"/>
      <w:marLeft w:val="0"/>
      <w:marRight w:val="0"/>
      <w:marTop w:val="0"/>
      <w:marBottom w:val="0"/>
      <w:divBdr>
        <w:top w:val="none" w:sz="0" w:space="0" w:color="auto"/>
        <w:left w:val="none" w:sz="0" w:space="0" w:color="auto"/>
        <w:bottom w:val="none" w:sz="0" w:space="0" w:color="auto"/>
        <w:right w:val="none" w:sz="0" w:space="0" w:color="auto"/>
      </w:divBdr>
    </w:div>
    <w:div w:id="406001760">
      <w:bodyDiv w:val="1"/>
      <w:marLeft w:val="0"/>
      <w:marRight w:val="0"/>
      <w:marTop w:val="0"/>
      <w:marBottom w:val="0"/>
      <w:divBdr>
        <w:top w:val="none" w:sz="0" w:space="0" w:color="auto"/>
        <w:left w:val="none" w:sz="0" w:space="0" w:color="auto"/>
        <w:bottom w:val="none" w:sz="0" w:space="0" w:color="auto"/>
        <w:right w:val="none" w:sz="0" w:space="0" w:color="auto"/>
      </w:divBdr>
    </w:div>
    <w:div w:id="778069512">
      <w:bodyDiv w:val="1"/>
      <w:marLeft w:val="0"/>
      <w:marRight w:val="0"/>
      <w:marTop w:val="0"/>
      <w:marBottom w:val="0"/>
      <w:divBdr>
        <w:top w:val="none" w:sz="0" w:space="0" w:color="auto"/>
        <w:left w:val="none" w:sz="0" w:space="0" w:color="auto"/>
        <w:bottom w:val="none" w:sz="0" w:space="0" w:color="auto"/>
        <w:right w:val="none" w:sz="0" w:space="0" w:color="auto"/>
      </w:divBdr>
    </w:div>
    <w:div w:id="868222071">
      <w:bodyDiv w:val="1"/>
      <w:marLeft w:val="0"/>
      <w:marRight w:val="0"/>
      <w:marTop w:val="0"/>
      <w:marBottom w:val="0"/>
      <w:divBdr>
        <w:top w:val="none" w:sz="0" w:space="0" w:color="auto"/>
        <w:left w:val="none" w:sz="0" w:space="0" w:color="auto"/>
        <w:bottom w:val="none" w:sz="0" w:space="0" w:color="auto"/>
        <w:right w:val="none" w:sz="0" w:space="0" w:color="auto"/>
      </w:divBdr>
    </w:div>
    <w:div w:id="1064646836">
      <w:bodyDiv w:val="1"/>
      <w:marLeft w:val="0"/>
      <w:marRight w:val="0"/>
      <w:marTop w:val="0"/>
      <w:marBottom w:val="0"/>
      <w:divBdr>
        <w:top w:val="none" w:sz="0" w:space="0" w:color="auto"/>
        <w:left w:val="none" w:sz="0" w:space="0" w:color="auto"/>
        <w:bottom w:val="none" w:sz="0" w:space="0" w:color="auto"/>
        <w:right w:val="none" w:sz="0" w:space="0" w:color="auto"/>
      </w:divBdr>
    </w:div>
    <w:div w:id="1134830717">
      <w:bodyDiv w:val="1"/>
      <w:marLeft w:val="0"/>
      <w:marRight w:val="0"/>
      <w:marTop w:val="0"/>
      <w:marBottom w:val="0"/>
      <w:divBdr>
        <w:top w:val="none" w:sz="0" w:space="0" w:color="auto"/>
        <w:left w:val="none" w:sz="0" w:space="0" w:color="auto"/>
        <w:bottom w:val="none" w:sz="0" w:space="0" w:color="auto"/>
        <w:right w:val="none" w:sz="0" w:space="0" w:color="auto"/>
      </w:divBdr>
    </w:div>
    <w:div w:id="1202862857">
      <w:bodyDiv w:val="1"/>
      <w:marLeft w:val="0"/>
      <w:marRight w:val="0"/>
      <w:marTop w:val="0"/>
      <w:marBottom w:val="0"/>
      <w:divBdr>
        <w:top w:val="none" w:sz="0" w:space="0" w:color="auto"/>
        <w:left w:val="none" w:sz="0" w:space="0" w:color="auto"/>
        <w:bottom w:val="none" w:sz="0" w:space="0" w:color="auto"/>
        <w:right w:val="none" w:sz="0" w:space="0" w:color="auto"/>
      </w:divBdr>
    </w:div>
    <w:div w:id="1251965436">
      <w:bodyDiv w:val="1"/>
      <w:marLeft w:val="0"/>
      <w:marRight w:val="0"/>
      <w:marTop w:val="0"/>
      <w:marBottom w:val="0"/>
      <w:divBdr>
        <w:top w:val="none" w:sz="0" w:space="0" w:color="auto"/>
        <w:left w:val="none" w:sz="0" w:space="0" w:color="auto"/>
        <w:bottom w:val="none" w:sz="0" w:space="0" w:color="auto"/>
        <w:right w:val="none" w:sz="0" w:space="0" w:color="auto"/>
      </w:divBdr>
    </w:div>
    <w:div w:id="1306206854">
      <w:bodyDiv w:val="1"/>
      <w:marLeft w:val="0"/>
      <w:marRight w:val="0"/>
      <w:marTop w:val="0"/>
      <w:marBottom w:val="0"/>
      <w:divBdr>
        <w:top w:val="none" w:sz="0" w:space="0" w:color="auto"/>
        <w:left w:val="none" w:sz="0" w:space="0" w:color="auto"/>
        <w:bottom w:val="none" w:sz="0" w:space="0" w:color="auto"/>
        <w:right w:val="none" w:sz="0" w:space="0" w:color="auto"/>
      </w:divBdr>
    </w:div>
    <w:div w:id="1341079204">
      <w:bodyDiv w:val="1"/>
      <w:marLeft w:val="0"/>
      <w:marRight w:val="0"/>
      <w:marTop w:val="0"/>
      <w:marBottom w:val="0"/>
      <w:divBdr>
        <w:top w:val="none" w:sz="0" w:space="0" w:color="auto"/>
        <w:left w:val="none" w:sz="0" w:space="0" w:color="auto"/>
        <w:bottom w:val="none" w:sz="0" w:space="0" w:color="auto"/>
        <w:right w:val="none" w:sz="0" w:space="0" w:color="auto"/>
      </w:divBdr>
    </w:div>
    <w:div w:id="1493719245">
      <w:bodyDiv w:val="1"/>
      <w:marLeft w:val="0"/>
      <w:marRight w:val="0"/>
      <w:marTop w:val="0"/>
      <w:marBottom w:val="0"/>
      <w:divBdr>
        <w:top w:val="none" w:sz="0" w:space="0" w:color="auto"/>
        <w:left w:val="none" w:sz="0" w:space="0" w:color="auto"/>
        <w:bottom w:val="none" w:sz="0" w:space="0" w:color="auto"/>
        <w:right w:val="none" w:sz="0" w:space="0" w:color="auto"/>
      </w:divBdr>
    </w:div>
    <w:div w:id="1725521314">
      <w:bodyDiv w:val="1"/>
      <w:marLeft w:val="0"/>
      <w:marRight w:val="0"/>
      <w:marTop w:val="0"/>
      <w:marBottom w:val="0"/>
      <w:divBdr>
        <w:top w:val="none" w:sz="0" w:space="0" w:color="auto"/>
        <w:left w:val="none" w:sz="0" w:space="0" w:color="auto"/>
        <w:bottom w:val="none" w:sz="0" w:space="0" w:color="auto"/>
        <w:right w:val="none" w:sz="0" w:space="0" w:color="auto"/>
      </w:divBdr>
    </w:div>
    <w:div w:id="1806772850">
      <w:bodyDiv w:val="1"/>
      <w:marLeft w:val="0"/>
      <w:marRight w:val="0"/>
      <w:marTop w:val="0"/>
      <w:marBottom w:val="0"/>
      <w:divBdr>
        <w:top w:val="none" w:sz="0" w:space="0" w:color="auto"/>
        <w:left w:val="none" w:sz="0" w:space="0" w:color="auto"/>
        <w:bottom w:val="none" w:sz="0" w:space="0" w:color="auto"/>
        <w:right w:val="none" w:sz="0" w:space="0" w:color="auto"/>
      </w:divBdr>
    </w:div>
    <w:div w:id="1895703036">
      <w:bodyDiv w:val="1"/>
      <w:marLeft w:val="0"/>
      <w:marRight w:val="0"/>
      <w:marTop w:val="0"/>
      <w:marBottom w:val="0"/>
      <w:divBdr>
        <w:top w:val="none" w:sz="0" w:space="0" w:color="auto"/>
        <w:left w:val="none" w:sz="0" w:space="0" w:color="auto"/>
        <w:bottom w:val="none" w:sz="0" w:space="0" w:color="auto"/>
        <w:right w:val="none" w:sz="0" w:space="0" w:color="auto"/>
      </w:divBdr>
    </w:div>
    <w:div w:id="21134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magroup.org/assets/documents/Regulatory/Green-Bonds/Translations/2020/Russian-SBP2020-06-0211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5221-0812-4F60-B5EF-6490727D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13708</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Inessa</dc:creator>
  <cp:keywords/>
  <dc:description/>
  <cp:lastModifiedBy>Жанар Адильхановна Кесикбаева</cp:lastModifiedBy>
  <cp:revision>2</cp:revision>
  <cp:lastPrinted>2021-08-31T03:52:00Z</cp:lastPrinted>
  <dcterms:created xsi:type="dcterms:W3CDTF">2021-11-15T03:28:00Z</dcterms:created>
  <dcterms:modified xsi:type="dcterms:W3CDTF">2021-11-15T03:28:00Z</dcterms:modified>
</cp:coreProperties>
</file>